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E680DC" w14:textId="4EA34A4B" w:rsidR="00D16F60" w:rsidRPr="00D16F60" w:rsidRDefault="000056A7" w:rsidP="00D16F60">
      <w:pPr>
        <w:tabs>
          <w:tab w:val="center" w:pos="4536"/>
          <w:tab w:val="right" w:pos="9072"/>
        </w:tabs>
        <w:jc w:val="both"/>
        <w:rPr>
          <w:rFonts w:ascii="Arial" w:eastAsia="宋体" w:hAnsi="Arial" w:cs="Arial"/>
          <w:b/>
          <w:bCs/>
          <w:sz w:val="22"/>
          <w:lang w:eastAsia="zh-CN"/>
        </w:rPr>
      </w:pPr>
      <w:bookmarkStart w:id="0" w:name="_GoBack"/>
      <w:r w:rsidRPr="000056A7">
        <w:rPr>
          <w:rFonts w:ascii="Arial" w:eastAsia="MS Mincho" w:hAnsi="Arial" w:cs="Arial"/>
          <w:b/>
          <w:bCs/>
          <w:sz w:val="22"/>
        </w:rPr>
        <w:t>3GPP TSG RAN WG1#96</w:t>
      </w:r>
      <w:r w:rsidR="00D16F60" w:rsidRPr="00D16F60">
        <w:rPr>
          <w:rFonts w:ascii="Arial" w:eastAsia="MS Mincho" w:hAnsi="Arial" w:cs="Arial"/>
          <w:b/>
          <w:bCs/>
          <w:sz w:val="22"/>
        </w:rPr>
        <w:tab/>
      </w:r>
      <w:r w:rsidR="00D16F60" w:rsidRPr="00D16F60">
        <w:rPr>
          <w:rFonts w:ascii="Arial" w:eastAsia="MS Mincho" w:hAnsi="Arial" w:cs="Arial"/>
          <w:b/>
          <w:bCs/>
          <w:sz w:val="22"/>
        </w:rPr>
        <w:tab/>
      </w:r>
      <w:r w:rsidRPr="000056A7">
        <w:rPr>
          <w:rFonts w:ascii="Arial" w:eastAsia="MS Mincho" w:hAnsi="Arial" w:cs="Arial"/>
          <w:b/>
          <w:bCs/>
          <w:sz w:val="22"/>
        </w:rPr>
        <w:t>R1-1901681</w:t>
      </w:r>
    </w:p>
    <w:p w14:paraId="0DEA1F30" w14:textId="640104EB" w:rsidR="00D16F60" w:rsidRPr="00D16F60" w:rsidRDefault="000056A7" w:rsidP="00D16F60">
      <w:pPr>
        <w:tabs>
          <w:tab w:val="center" w:pos="4536"/>
          <w:tab w:val="right" w:pos="9072"/>
        </w:tabs>
        <w:rPr>
          <w:rFonts w:ascii="Arial" w:eastAsia="宋体" w:hAnsi="Arial" w:cs="Arial"/>
          <w:b/>
          <w:bCs/>
          <w:sz w:val="22"/>
          <w:szCs w:val="22"/>
          <w:lang w:eastAsia="zh-CN"/>
        </w:rPr>
      </w:pPr>
      <w:r w:rsidRPr="000056A7">
        <w:rPr>
          <w:rFonts w:ascii="Arial" w:eastAsia="宋体" w:hAnsi="Arial"/>
          <w:b/>
          <w:sz w:val="22"/>
          <w:lang w:eastAsia="zh-CN"/>
        </w:rPr>
        <w:t>Athens, Greece, 25th February– 1st March, 2019</w:t>
      </w:r>
    </w:p>
    <w:p w14:paraId="3C17E19D" w14:textId="77777777" w:rsidR="0082533A" w:rsidRPr="0082631B" w:rsidRDefault="0082533A" w:rsidP="007E528C">
      <w:pPr>
        <w:pStyle w:val="a4"/>
        <w:rPr>
          <w:rFonts w:cs="Arial"/>
        </w:rPr>
      </w:pPr>
    </w:p>
    <w:p w14:paraId="6D46A0AE" w14:textId="77777777" w:rsidR="00367877" w:rsidRPr="0082631B" w:rsidRDefault="00367877" w:rsidP="00367877">
      <w:pPr>
        <w:pStyle w:val="a4"/>
        <w:tabs>
          <w:tab w:val="left" w:pos="1800"/>
        </w:tabs>
        <w:ind w:left="1800" w:hanging="1800"/>
        <w:rPr>
          <w:rFonts w:eastAsia="宋体" w:cs="Arial"/>
          <w:lang w:eastAsia="zh-CN"/>
        </w:rPr>
      </w:pPr>
      <w:r w:rsidRPr="0082631B">
        <w:rPr>
          <w:rFonts w:cs="Arial"/>
        </w:rPr>
        <w:t>Source:</w:t>
      </w:r>
      <w:r w:rsidRPr="0082631B">
        <w:rPr>
          <w:rFonts w:cs="Arial"/>
        </w:rPr>
        <w:tab/>
      </w:r>
      <w:r w:rsidR="001C76AC">
        <w:rPr>
          <w:rFonts w:eastAsia="宋体" w:cs="Arial" w:hint="eastAsia"/>
          <w:lang w:eastAsia="zh-CN"/>
        </w:rPr>
        <w:t>vivo</w:t>
      </w:r>
    </w:p>
    <w:p w14:paraId="498F2F71" w14:textId="71C0D93A" w:rsidR="000D7F0F" w:rsidRPr="0082631B" w:rsidRDefault="00367877" w:rsidP="00367877">
      <w:pPr>
        <w:pStyle w:val="a4"/>
        <w:tabs>
          <w:tab w:val="left" w:pos="1800"/>
        </w:tabs>
        <w:rPr>
          <w:rFonts w:eastAsia="宋体" w:cs="Arial"/>
          <w:lang w:eastAsia="zh-CN"/>
        </w:rPr>
      </w:pPr>
      <w:r w:rsidRPr="0082631B">
        <w:rPr>
          <w:rFonts w:cs="Arial"/>
        </w:rPr>
        <w:t>Title:</w:t>
      </w:r>
      <w:r w:rsidRPr="0082631B">
        <w:rPr>
          <w:rFonts w:cs="Arial"/>
        </w:rPr>
        <w:tab/>
      </w:r>
      <w:r w:rsidR="00774050" w:rsidRPr="00774050">
        <w:rPr>
          <w:rFonts w:eastAsia="宋体" w:cs="Arial"/>
          <w:lang w:eastAsia="zh-CN"/>
        </w:rPr>
        <w:t>Discussion on resource multiplexing among backhaul and access links</w:t>
      </w:r>
    </w:p>
    <w:p w14:paraId="151BE230" w14:textId="40BBD788" w:rsidR="00367877" w:rsidRPr="0082631B" w:rsidRDefault="00367877" w:rsidP="00367877">
      <w:pPr>
        <w:pStyle w:val="a4"/>
        <w:tabs>
          <w:tab w:val="left" w:pos="1800"/>
        </w:tabs>
        <w:rPr>
          <w:rFonts w:eastAsia="宋体" w:cs="Arial"/>
          <w:lang w:eastAsia="zh-CN"/>
        </w:rPr>
      </w:pPr>
      <w:r w:rsidRPr="0082631B">
        <w:rPr>
          <w:rFonts w:cs="Arial"/>
        </w:rPr>
        <w:t>Agenda Item:</w:t>
      </w:r>
      <w:r w:rsidRPr="0082631B">
        <w:rPr>
          <w:rFonts w:cs="Arial"/>
        </w:rPr>
        <w:tab/>
      </w:r>
      <w:r w:rsidR="007E528C" w:rsidRPr="007E528C">
        <w:rPr>
          <w:rFonts w:eastAsia="宋体" w:cs="Arial"/>
          <w:lang w:eastAsia="zh-CN"/>
        </w:rPr>
        <w:t>7.</w:t>
      </w:r>
      <w:r w:rsidR="00BF21D5">
        <w:rPr>
          <w:rFonts w:eastAsia="宋体" w:cs="Arial"/>
          <w:lang w:eastAsia="zh-CN"/>
        </w:rPr>
        <w:t>2.3</w:t>
      </w:r>
      <w:r w:rsidR="00D16F60">
        <w:rPr>
          <w:rFonts w:eastAsia="宋体" w:cs="Arial"/>
          <w:lang w:eastAsia="zh-CN"/>
        </w:rPr>
        <w:t>.4</w:t>
      </w:r>
    </w:p>
    <w:p w14:paraId="69C100A2" w14:textId="77777777" w:rsidR="00367877" w:rsidRPr="00C10680" w:rsidRDefault="00367877" w:rsidP="00367877">
      <w:pPr>
        <w:pStyle w:val="a4"/>
        <w:tabs>
          <w:tab w:val="left" w:pos="1800"/>
        </w:tabs>
        <w:rPr>
          <w:rFonts w:eastAsia="宋体" w:cs="Arial"/>
          <w:sz w:val="24"/>
          <w:lang w:eastAsia="zh-CN"/>
        </w:rPr>
      </w:pPr>
      <w:r w:rsidRPr="0082631B">
        <w:rPr>
          <w:rFonts w:cs="Arial"/>
        </w:rPr>
        <w:t>Document for:</w:t>
      </w:r>
      <w:r w:rsidRPr="0082631B">
        <w:rPr>
          <w:rFonts w:cs="Arial"/>
        </w:rPr>
        <w:tab/>
        <w:t>Discussion</w:t>
      </w:r>
      <w:r w:rsidRPr="0082631B">
        <w:rPr>
          <w:rFonts w:eastAsia="宋体" w:cs="Arial"/>
          <w:lang w:eastAsia="zh-CN"/>
        </w:rPr>
        <w:t xml:space="preserve"> and Decision</w:t>
      </w:r>
    </w:p>
    <w:p w14:paraId="2C4245B5" w14:textId="60578F60" w:rsidR="00E807E7" w:rsidRDefault="00E807E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1" w:name="OLE_LINK13"/>
      <w:bookmarkStart w:id="2" w:name="OLE_LINK14"/>
      <w:bookmarkEnd w:id="0"/>
      <w:r w:rsidRPr="006C7617">
        <w:rPr>
          <w:rFonts w:ascii="Arial" w:hAnsi="Arial" w:cs="Times New Roman" w:hint="eastAsia"/>
          <w:b w:val="0"/>
          <w:bCs w:val="0"/>
          <w:kern w:val="0"/>
          <w:sz w:val="36"/>
          <w:szCs w:val="20"/>
          <w:lang w:val="en-GB" w:eastAsia="en-GB"/>
        </w:rPr>
        <w:t>Introduction</w:t>
      </w:r>
    </w:p>
    <w:p w14:paraId="03D1AAD2" w14:textId="54A497FA" w:rsidR="00547A31" w:rsidRDefault="00547A31" w:rsidP="00622D80">
      <w:pPr>
        <w:rPr>
          <w:sz w:val="20"/>
          <w:szCs w:val="20"/>
        </w:rPr>
      </w:pPr>
      <w:r>
        <w:rPr>
          <w:sz w:val="20"/>
          <w:szCs w:val="20"/>
        </w:rPr>
        <w:t>It is agreed to specify the following aspects for IAB multiplexing related issues as follows,</w:t>
      </w:r>
    </w:p>
    <w:p w14:paraId="6E738B60" w14:textId="77777777" w:rsidR="00547A31" w:rsidRPr="00547A31" w:rsidRDefault="00547A31" w:rsidP="00547A31">
      <w:pPr>
        <w:numPr>
          <w:ilvl w:val="0"/>
          <w:numId w:val="19"/>
        </w:numPr>
        <w:overflowPunct w:val="0"/>
        <w:autoSpaceDE w:val="0"/>
        <w:autoSpaceDN w:val="0"/>
        <w:adjustRightInd w:val="0"/>
        <w:spacing w:beforeLines="60" w:before="144" w:afterLines="60" w:after="144"/>
        <w:textAlignment w:val="baseline"/>
        <w:rPr>
          <w:rFonts w:eastAsia="Yu Mincho"/>
          <w:sz w:val="20"/>
          <w:szCs w:val="20"/>
          <w:lang w:val="en-GB"/>
        </w:rPr>
      </w:pPr>
      <w:r w:rsidRPr="00547A31">
        <w:rPr>
          <w:rFonts w:eastAsia="Yu Mincho"/>
          <w:sz w:val="20"/>
          <w:szCs w:val="20"/>
          <w:lang w:val="en-GB"/>
        </w:rPr>
        <w:t xml:space="preserve">Specification of mechanisms for resource multiplexing among backhaul and access links. This includes: </w:t>
      </w:r>
    </w:p>
    <w:p w14:paraId="61B6C441" w14:textId="77777777" w:rsidR="00547A31" w:rsidRPr="00547A31" w:rsidRDefault="00547A31" w:rsidP="00547A31">
      <w:pPr>
        <w:numPr>
          <w:ilvl w:val="1"/>
          <w:numId w:val="19"/>
        </w:numPr>
        <w:overflowPunct w:val="0"/>
        <w:autoSpaceDE w:val="0"/>
        <w:autoSpaceDN w:val="0"/>
        <w:adjustRightInd w:val="0"/>
        <w:spacing w:beforeLines="60" w:before="144" w:afterLines="60" w:after="144"/>
        <w:textAlignment w:val="baseline"/>
        <w:rPr>
          <w:rFonts w:eastAsia="Yu Mincho"/>
          <w:sz w:val="20"/>
          <w:szCs w:val="20"/>
          <w:lang w:val="en-GB"/>
        </w:rPr>
      </w:pPr>
      <w:r w:rsidRPr="00547A31">
        <w:rPr>
          <w:rFonts w:eastAsia="Yu Mincho"/>
          <w:sz w:val="20"/>
          <w:szCs w:val="20"/>
          <w:lang w:val="en-GB"/>
        </w:rPr>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14:paraId="3B93DE7C" w14:textId="77777777" w:rsidR="00547A31" w:rsidRPr="00547A31" w:rsidRDefault="00547A31" w:rsidP="00547A31">
      <w:pPr>
        <w:numPr>
          <w:ilvl w:val="1"/>
          <w:numId w:val="19"/>
        </w:numPr>
        <w:overflowPunct w:val="0"/>
        <w:autoSpaceDE w:val="0"/>
        <w:autoSpaceDN w:val="0"/>
        <w:adjustRightInd w:val="0"/>
        <w:spacing w:beforeLines="60" w:before="144" w:afterLines="60" w:after="144"/>
        <w:textAlignment w:val="baseline"/>
        <w:rPr>
          <w:rFonts w:eastAsia="Yu Mincho"/>
          <w:sz w:val="20"/>
          <w:szCs w:val="20"/>
          <w:lang w:val="en-GB"/>
        </w:rPr>
      </w:pPr>
      <w:r w:rsidRPr="00547A31">
        <w:rPr>
          <w:rFonts w:eastAsia="Yu Mincho"/>
          <w:sz w:val="20"/>
          <w:szCs w:val="20"/>
          <w:lang w:val="en-GB"/>
        </w:rPr>
        <w:t xml:space="preserve">Specification of time resource types for the DU’s child links: DL hard, DL soft, UL hard, UL soft, Flexible hard, Flexible soft, Not Available </w:t>
      </w:r>
    </w:p>
    <w:p w14:paraId="32CB11F7" w14:textId="77777777" w:rsidR="00547A31" w:rsidRPr="00547A31" w:rsidRDefault="00547A31" w:rsidP="00547A31">
      <w:pPr>
        <w:numPr>
          <w:ilvl w:val="1"/>
          <w:numId w:val="19"/>
        </w:numPr>
        <w:overflowPunct w:val="0"/>
        <w:autoSpaceDE w:val="0"/>
        <w:autoSpaceDN w:val="0"/>
        <w:adjustRightInd w:val="0"/>
        <w:spacing w:beforeLines="60" w:before="144" w:afterLines="60" w:after="144"/>
        <w:textAlignment w:val="baseline"/>
        <w:rPr>
          <w:rFonts w:eastAsia="Yu Mincho"/>
          <w:sz w:val="20"/>
          <w:szCs w:val="20"/>
          <w:lang w:val="en-GB"/>
        </w:rPr>
      </w:pPr>
      <w:r w:rsidRPr="00547A31">
        <w:rPr>
          <w:rFonts w:eastAsia="Yu Mincho"/>
          <w:sz w:val="20"/>
          <w:szCs w:val="20"/>
          <w:lang w:val="en-GB"/>
        </w:rPr>
        <w:t xml:space="preserve">Specification of dynamic indication (L1 signalling) of the availability of soft resources for a child IAB-node DU </w:t>
      </w:r>
    </w:p>
    <w:p w14:paraId="337CFF2E" w14:textId="77777777" w:rsidR="00547A31" w:rsidRPr="00547A31" w:rsidRDefault="00547A31" w:rsidP="00547A31">
      <w:pPr>
        <w:numPr>
          <w:ilvl w:val="1"/>
          <w:numId w:val="19"/>
        </w:numPr>
        <w:overflowPunct w:val="0"/>
        <w:autoSpaceDE w:val="0"/>
        <w:autoSpaceDN w:val="0"/>
        <w:adjustRightInd w:val="0"/>
        <w:spacing w:beforeLines="60" w:before="144" w:afterLines="60" w:after="144"/>
        <w:textAlignment w:val="baseline"/>
        <w:rPr>
          <w:rFonts w:eastAsia="Yu Mincho"/>
          <w:sz w:val="20"/>
          <w:szCs w:val="20"/>
          <w:lang w:val="en-GB"/>
        </w:rPr>
      </w:pPr>
      <w:r w:rsidRPr="00547A31">
        <w:rPr>
          <w:rFonts w:eastAsia="Yu Mincho"/>
          <w:sz w:val="20"/>
          <w:szCs w:val="20"/>
          <w:lang w:val="en-GB"/>
        </w:rPr>
        <w:t>Specification of required transmission/reception rules for IAB-nodes and associated behaviours regarding time resource utilization as discussed in TR 38.874 clause 7.3.3.</w:t>
      </w:r>
    </w:p>
    <w:p w14:paraId="69660AC4" w14:textId="4E1DFB58" w:rsidR="000056A7" w:rsidRDefault="000056A7" w:rsidP="00622D80">
      <w:pPr>
        <w:rPr>
          <w:rFonts w:eastAsiaTheme="minorEastAsia"/>
          <w:sz w:val="20"/>
          <w:szCs w:val="20"/>
          <w:lang w:val="en-GB" w:eastAsia="zh-CN"/>
        </w:rPr>
      </w:pPr>
      <w:r>
        <w:rPr>
          <w:rFonts w:eastAsiaTheme="minorEastAsia" w:hint="eastAsia"/>
          <w:sz w:val="20"/>
          <w:szCs w:val="20"/>
          <w:lang w:val="en-GB" w:eastAsia="zh-CN"/>
        </w:rPr>
        <w:t xml:space="preserve">In NR Adhoc#1901, it is agreed that, </w:t>
      </w:r>
    </w:p>
    <w:p w14:paraId="7E4D8DAD" w14:textId="77777777" w:rsidR="000056A7" w:rsidRDefault="000056A7" w:rsidP="00622D80">
      <w:pPr>
        <w:rPr>
          <w:rFonts w:eastAsiaTheme="minorEastAsia"/>
          <w:sz w:val="20"/>
          <w:szCs w:val="20"/>
          <w:lang w:val="en-GB" w:eastAsia="zh-CN"/>
        </w:rPr>
      </w:pPr>
    </w:p>
    <w:p w14:paraId="2D06518F" w14:textId="77777777" w:rsidR="000056A7" w:rsidRDefault="000056A7" w:rsidP="000056A7">
      <w:pPr>
        <w:rPr>
          <w:rFonts w:ascii="Times" w:eastAsia="Batang" w:hAnsi="Times"/>
          <w:sz w:val="20"/>
          <w:szCs w:val="20"/>
          <w:lang w:val="en-GB" w:eastAsia="x-none"/>
        </w:rPr>
      </w:pPr>
      <w:r w:rsidRPr="000056A7">
        <w:rPr>
          <w:rFonts w:ascii="Times" w:eastAsia="Batang" w:hAnsi="Times"/>
          <w:sz w:val="20"/>
          <w:szCs w:val="20"/>
          <w:highlight w:val="green"/>
          <w:lang w:val="en-GB" w:eastAsia="x-none"/>
        </w:rPr>
        <w:t>Agreements</w:t>
      </w:r>
      <w:r w:rsidRPr="000056A7">
        <w:rPr>
          <w:rFonts w:ascii="Times" w:eastAsia="Batang" w:hAnsi="Times"/>
          <w:sz w:val="20"/>
          <w:szCs w:val="20"/>
          <w:lang w:val="en-GB" w:eastAsia="x-none"/>
        </w:rPr>
        <w:t>:</w:t>
      </w:r>
      <w:r>
        <w:rPr>
          <w:rFonts w:ascii="Times" w:eastAsia="Batang" w:hAnsi="Times"/>
          <w:sz w:val="20"/>
          <w:szCs w:val="20"/>
          <w:lang w:val="en-GB" w:eastAsia="x-none"/>
        </w:rPr>
        <w:t xml:space="preserve"> </w:t>
      </w:r>
    </w:p>
    <w:p w14:paraId="0A54A674" w14:textId="6673A9FF" w:rsidR="000056A7" w:rsidRPr="000056A7" w:rsidRDefault="000056A7" w:rsidP="000056A7">
      <w:pPr>
        <w:rPr>
          <w:rFonts w:ascii="Times" w:eastAsia="Batang" w:hAnsi="Times"/>
          <w:sz w:val="20"/>
          <w:szCs w:val="20"/>
          <w:lang w:val="en-GB"/>
        </w:rPr>
      </w:pPr>
      <w:r w:rsidRPr="000056A7">
        <w:rPr>
          <w:rFonts w:ascii="Times" w:eastAsia="Batang" w:hAnsi="Times"/>
          <w:sz w:val="20"/>
          <w:szCs w:val="20"/>
          <w:lang w:val="en-GB"/>
        </w:rPr>
        <w:t>At least existing resource definitions (D/U/F) and semi-static and dynamic signaling methods defined in Rel-15 for access UEs are reused for configuration and indication of MT resources to be used by the backhaul link between the IAB node and its parent.</w:t>
      </w:r>
    </w:p>
    <w:p w14:paraId="6C82627D" w14:textId="77777777" w:rsidR="000056A7" w:rsidRPr="000056A7" w:rsidRDefault="000056A7" w:rsidP="000056A7">
      <w:pPr>
        <w:numPr>
          <w:ilvl w:val="0"/>
          <w:numId w:val="22"/>
        </w:numPr>
        <w:spacing w:before="60" w:after="120"/>
        <w:jc w:val="both"/>
        <w:rPr>
          <w:rFonts w:ascii="Times" w:eastAsia="Batang" w:hAnsi="Times"/>
          <w:sz w:val="20"/>
          <w:szCs w:val="20"/>
          <w:lang w:val="en-GB"/>
        </w:rPr>
      </w:pPr>
      <w:r w:rsidRPr="000056A7">
        <w:rPr>
          <w:rFonts w:ascii="Times" w:eastAsia="Batang" w:hAnsi="Times"/>
          <w:sz w:val="20"/>
          <w:szCs w:val="20"/>
          <w:lang w:val="en-GB"/>
        </w:rPr>
        <w:t>FFS details</w:t>
      </w:r>
    </w:p>
    <w:p w14:paraId="00411139" w14:textId="77777777" w:rsidR="000056A7" w:rsidRDefault="000056A7" w:rsidP="000056A7">
      <w:pPr>
        <w:rPr>
          <w:rFonts w:ascii="Times" w:eastAsia="Batang" w:hAnsi="Times"/>
          <w:sz w:val="20"/>
          <w:szCs w:val="20"/>
          <w:lang w:val="en-GB"/>
        </w:rPr>
      </w:pPr>
    </w:p>
    <w:p w14:paraId="2450CA84" w14:textId="77777777" w:rsidR="000056A7" w:rsidRPr="000056A7" w:rsidRDefault="000056A7" w:rsidP="000056A7">
      <w:pPr>
        <w:rPr>
          <w:rFonts w:ascii="Times" w:eastAsia="Batang" w:hAnsi="Times"/>
          <w:sz w:val="20"/>
          <w:szCs w:val="20"/>
          <w:lang w:val="en-GB"/>
        </w:rPr>
      </w:pPr>
      <w:r w:rsidRPr="000056A7">
        <w:rPr>
          <w:rFonts w:ascii="Times" w:eastAsia="Batang" w:hAnsi="Times"/>
          <w:sz w:val="20"/>
          <w:szCs w:val="20"/>
          <w:lang w:val="en-GB"/>
        </w:rPr>
        <w:t>IAB-node/IAB-donor DU resources are provided by a semi-static configuration which is provided separately from the MT resource indication</w:t>
      </w:r>
    </w:p>
    <w:p w14:paraId="4A76000C" w14:textId="77777777" w:rsidR="000056A7" w:rsidRPr="000056A7" w:rsidRDefault="000056A7" w:rsidP="000056A7">
      <w:pPr>
        <w:numPr>
          <w:ilvl w:val="0"/>
          <w:numId w:val="22"/>
        </w:numPr>
        <w:spacing w:before="60" w:after="120"/>
        <w:jc w:val="both"/>
        <w:rPr>
          <w:rFonts w:ascii="Times" w:eastAsia="Batang" w:hAnsi="Times"/>
          <w:sz w:val="20"/>
          <w:szCs w:val="20"/>
          <w:lang w:val="en-GB"/>
        </w:rPr>
      </w:pPr>
      <w:r w:rsidRPr="000056A7">
        <w:rPr>
          <w:rFonts w:ascii="Times" w:eastAsia="Batang" w:hAnsi="Times"/>
          <w:sz w:val="20"/>
          <w:szCs w:val="20"/>
          <w:lang w:val="en-GB"/>
        </w:rPr>
        <w:t xml:space="preserve">FFS: whether the configuration is per-link or per-DU </w:t>
      </w:r>
    </w:p>
    <w:p w14:paraId="2BEC9AE3" w14:textId="77777777" w:rsidR="000056A7" w:rsidRPr="000056A7" w:rsidRDefault="000056A7" w:rsidP="000056A7">
      <w:pPr>
        <w:numPr>
          <w:ilvl w:val="0"/>
          <w:numId w:val="22"/>
        </w:numPr>
        <w:spacing w:before="60" w:after="120"/>
        <w:jc w:val="both"/>
        <w:rPr>
          <w:rFonts w:ascii="Times" w:eastAsia="Batang" w:hAnsi="Times"/>
          <w:sz w:val="20"/>
          <w:szCs w:val="20"/>
          <w:lang w:val="en-GB"/>
        </w:rPr>
      </w:pPr>
      <w:r w:rsidRPr="000056A7">
        <w:rPr>
          <w:rFonts w:ascii="Times" w:eastAsia="Batang" w:hAnsi="Times"/>
          <w:sz w:val="20"/>
          <w:szCs w:val="20"/>
          <w:lang w:val="en-GB"/>
        </w:rPr>
        <w:t>FFS: details for the configuration</w:t>
      </w:r>
    </w:p>
    <w:p w14:paraId="5B3E766C" w14:textId="77777777" w:rsidR="000056A7" w:rsidRDefault="000056A7" w:rsidP="000056A7">
      <w:pPr>
        <w:rPr>
          <w:rFonts w:ascii="Times" w:eastAsia="Batang" w:hAnsi="Times"/>
          <w:sz w:val="20"/>
          <w:szCs w:val="20"/>
          <w:lang w:val="en-GB"/>
        </w:rPr>
      </w:pPr>
    </w:p>
    <w:p w14:paraId="01AA03FC" w14:textId="77777777" w:rsidR="000056A7" w:rsidRPr="000056A7" w:rsidRDefault="000056A7" w:rsidP="000056A7">
      <w:pPr>
        <w:rPr>
          <w:rFonts w:ascii="Times" w:eastAsia="Batang" w:hAnsi="Times"/>
          <w:sz w:val="20"/>
          <w:szCs w:val="20"/>
          <w:lang w:val="en-GB"/>
        </w:rPr>
      </w:pPr>
      <w:r w:rsidRPr="000056A7">
        <w:rPr>
          <w:rFonts w:ascii="Times" w:eastAsia="Batang" w:hAnsi="Times"/>
          <w:sz w:val="20"/>
          <w:szCs w:val="20"/>
          <w:lang w:val="en-GB"/>
        </w:rPr>
        <w:t>Support indication of the dynamic availability of soft resources at an IAB node from a parent</w:t>
      </w:r>
    </w:p>
    <w:p w14:paraId="72677AB0" w14:textId="77777777" w:rsidR="000056A7" w:rsidRPr="000056A7" w:rsidRDefault="000056A7" w:rsidP="000056A7">
      <w:pPr>
        <w:numPr>
          <w:ilvl w:val="0"/>
          <w:numId w:val="23"/>
        </w:numPr>
        <w:rPr>
          <w:rFonts w:ascii="Times" w:eastAsia="Batang" w:hAnsi="Times"/>
          <w:sz w:val="20"/>
          <w:szCs w:val="20"/>
          <w:lang w:val="en-GB"/>
        </w:rPr>
      </w:pPr>
      <w:r w:rsidRPr="000056A7">
        <w:rPr>
          <w:rFonts w:ascii="Times" w:eastAsia="Batang" w:hAnsi="Times"/>
          <w:sz w:val="20"/>
          <w:szCs w:val="20"/>
          <w:lang w:val="en-GB"/>
        </w:rPr>
        <w:t>FFS details, including explicit vs. implicit indication</w:t>
      </w:r>
    </w:p>
    <w:p w14:paraId="0AB7F426" w14:textId="77777777" w:rsidR="000056A7" w:rsidRPr="000056A7" w:rsidRDefault="000056A7" w:rsidP="00622D80">
      <w:pPr>
        <w:rPr>
          <w:rFonts w:eastAsiaTheme="minorEastAsia"/>
          <w:sz w:val="20"/>
          <w:szCs w:val="20"/>
          <w:lang w:val="en-GB" w:eastAsia="zh-CN"/>
        </w:rPr>
      </w:pPr>
    </w:p>
    <w:p w14:paraId="5660A4F1" w14:textId="05F97D61" w:rsidR="00547A31" w:rsidRPr="006D25AD" w:rsidRDefault="006D25AD" w:rsidP="00622D80">
      <w:pPr>
        <w:rPr>
          <w:rFonts w:eastAsiaTheme="minorEastAsia"/>
          <w:sz w:val="20"/>
          <w:szCs w:val="20"/>
          <w:lang w:val="en-GB" w:eastAsia="zh-CN"/>
        </w:rPr>
      </w:pPr>
      <w:r>
        <w:rPr>
          <w:rFonts w:eastAsiaTheme="minorEastAsia" w:hint="eastAsia"/>
          <w:sz w:val="20"/>
          <w:szCs w:val="20"/>
          <w:lang w:val="en-GB" w:eastAsia="zh-CN"/>
        </w:rPr>
        <w:t xml:space="preserve">This contribution provides views on </w:t>
      </w:r>
      <w:r>
        <w:rPr>
          <w:rFonts w:eastAsiaTheme="minorEastAsia"/>
          <w:sz w:val="20"/>
          <w:szCs w:val="20"/>
          <w:lang w:val="en-GB" w:eastAsia="zh-CN"/>
        </w:rPr>
        <w:t xml:space="preserve"> the </w:t>
      </w:r>
      <w:r w:rsidRPr="00547A31">
        <w:rPr>
          <w:rFonts w:eastAsia="Yu Mincho"/>
          <w:sz w:val="20"/>
          <w:szCs w:val="20"/>
          <w:lang w:val="en-GB"/>
        </w:rPr>
        <w:t>time resource types for the DU’s child links</w:t>
      </w:r>
      <w:r>
        <w:rPr>
          <w:rFonts w:eastAsia="Yu Mincho"/>
          <w:sz w:val="20"/>
          <w:szCs w:val="20"/>
          <w:lang w:val="en-GB"/>
        </w:rPr>
        <w:t>.</w:t>
      </w:r>
    </w:p>
    <w:p w14:paraId="7814C7A5" w14:textId="5D56685E" w:rsidR="003D418E" w:rsidRDefault="003D418E" w:rsidP="00622D80">
      <w:pPr>
        <w:rPr>
          <w:sz w:val="20"/>
          <w:szCs w:val="20"/>
        </w:rPr>
      </w:pPr>
    </w:p>
    <w:p w14:paraId="5B7994D4" w14:textId="7424786F" w:rsidR="009C08FA" w:rsidRDefault="008224E4"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Discussion</w:t>
      </w:r>
    </w:p>
    <w:p w14:paraId="61BEF61D" w14:textId="7FC25DC4" w:rsidR="00CE13BF" w:rsidRDefault="00CE13BF" w:rsidP="00CE13BF">
      <w:pPr>
        <w:pStyle w:val="1"/>
        <w:numPr>
          <w:ilvl w:val="1"/>
          <w:numId w:val="5"/>
        </w:numPr>
        <w:rPr>
          <w:b w:val="0"/>
        </w:rPr>
      </w:pPr>
      <w:r>
        <w:rPr>
          <w:b w:val="0"/>
          <w:bCs w:val="0"/>
        </w:rPr>
        <w:t>Slot format</w:t>
      </w:r>
    </w:p>
    <w:p w14:paraId="0B859491" w14:textId="77777777" w:rsidR="00CE13BF" w:rsidRDefault="00CE13BF" w:rsidP="00CE13BF">
      <w:pPr>
        <w:pStyle w:val="a0"/>
        <w:rPr>
          <w:rFonts w:ascii="Times New Roman" w:hAnsi="Times New Roman"/>
          <w:szCs w:val="20"/>
        </w:rPr>
      </w:pPr>
      <w:r>
        <w:rPr>
          <w:rFonts w:eastAsia="宋体" w:hint="eastAsia"/>
          <w:lang w:eastAsia="zh-CN"/>
        </w:rPr>
        <w:t xml:space="preserve">So far, existing Rel-15 mechanism supports three ways to indicate slot/symbol as </w:t>
      </w:r>
      <w:r>
        <w:rPr>
          <w:rFonts w:eastAsia="宋体"/>
          <w:lang w:eastAsia="zh-CN"/>
        </w:rPr>
        <w:t xml:space="preserve">“D”, “U” or “F” in principle, </w:t>
      </w:r>
      <w:r w:rsidRPr="00111D52">
        <w:rPr>
          <w:rFonts w:ascii="Times New Roman" w:eastAsia="宋体" w:hAnsi="Times New Roman"/>
          <w:szCs w:val="20"/>
          <w:lang w:eastAsia="zh-CN"/>
        </w:rPr>
        <w:t xml:space="preserve">namely </w:t>
      </w:r>
      <w:r w:rsidRPr="00111D52">
        <w:rPr>
          <w:rFonts w:ascii="Times New Roman" w:hAnsi="Times New Roman"/>
          <w:i/>
          <w:szCs w:val="20"/>
        </w:rPr>
        <w:t>TDD-UL-DL-ConfigurationCommon</w:t>
      </w:r>
      <w:r w:rsidRPr="00111D52">
        <w:rPr>
          <w:rFonts w:ascii="Times New Roman" w:hAnsi="Times New Roman"/>
          <w:szCs w:val="20"/>
        </w:rPr>
        <w:t xml:space="preserve">, </w:t>
      </w:r>
      <w:r w:rsidRPr="00111D52">
        <w:rPr>
          <w:rFonts w:ascii="Times New Roman" w:hAnsi="Times New Roman"/>
          <w:i/>
          <w:szCs w:val="20"/>
        </w:rPr>
        <w:t>TDD-UL-DL-ConfigDedicated</w:t>
      </w:r>
      <w:r w:rsidRPr="00111D52">
        <w:rPr>
          <w:rFonts w:ascii="Times New Roman" w:hAnsi="Times New Roman"/>
          <w:szCs w:val="20"/>
        </w:rPr>
        <w:t xml:space="preserve"> and SFI in GC-PDCCH</w:t>
      </w:r>
      <w:r>
        <w:rPr>
          <w:rFonts w:ascii="Times New Roman" w:hAnsi="Times New Roman"/>
          <w:szCs w:val="20"/>
        </w:rPr>
        <w:t>. These signallings and indications can be used as a start point to design signalling and indication for indicating the resource allocation in time for backhaul link and access link.</w:t>
      </w:r>
    </w:p>
    <w:p w14:paraId="1EA12305" w14:textId="77777777" w:rsidR="00CE13BF" w:rsidRDefault="00CE13BF" w:rsidP="00CE13BF">
      <w:pPr>
        <w:pStyle w:val="a0"/>
        <w:rPr>
          <w:rFonts w:ascii="Times New Roman" w:hAnsi="Times New Roman"/>
          <w:szCs w:val="20"/>
        </w:rPr>
      </w:pPr>
      <w:r w:rsidRPr="00111D52">
        <w:rPr>
          <w:rFonts w:ascii="Times New Roman" w:hAnsi="Times New Roman"/>
          <w:i/>
          <w:szCs w:val="20"/>
        </w:rPr>
        <w:t>TDD-UL-DL-ConfigurationCommon</w:t>
      </w:r>
      <w:r w:rsidRPr="00111D52">
        <w:rPr>
          <w:rFonts w:ascii="Times New Roman" w:hAnsi="Times New Roman"/>
          <w:szCs w:val="20"/>
        </w:rPr>
        <w:t xml:space="preserve">, </w:t>
      </w:r>
      <w:r w:rsidRPr="00111D52">
        <w:rPr>
          <w:rFonts w:ascii="Times New Roman" w:hAnsi="Times New Roman"/>
          <w:i/>
          <w:szCs w:val="20"/>
        </w:rPr>
        <w:t>TDD-UL-DL-ConfigDedicated</w:t>
      </w:r>
      <w:r w:rsidRPr="00B21029">
        <w:rPr>
          <w:rFonts w:ascii="Times New Roman" w:hAnsi="Times New Roman"/>
          <w:szCs w:val="20"/>
        </w:rPr>
        <w:t xml:space="preserve"> </w:t>
      </w:r>
      <w:r>
        <w:rPr>
          <w:rFonts w:ascii="Times New Roman" w:hAnsi="Times New Roman"/>
          <w:szCs w:val="20"/>
        </w:rPr>
        <w:t>are</w:t>
      </w:r>
      <w:r w:rsidRPr="00B21029">
        <w:rPr>
          <w:rFonts w:ascii="Times New Roman" w:hAnsi="Times New Roman"/>
          <w:szCs w:val="20"/>
        </w:rPr>
        <w:t xml:space="preserve"> used for </w:t>
      </w:r>
      <w:r>
        <w:rPr>
          <w:rFonts w:ascii="Times New Roman" w:hAnsi="Times New Roman"/>
          <w:szCs w:val="20"/>
        </w:rPr>
        <w:t xml:space="preserve">semi-static resource partition. For </w:t>
      </w:r>
      <w:r w:rsidRPr="00111D52">
        <w:rPr>
          <w:rFonts w:ascii="Times New Roman" w:hAnsi="Times New Roman"/>
          <w:i/>
          <w:szCs w:val="20"/>
        </w:rPr>
        <w:t>TDD-UL-DL-ConfigurationCommon</w:t>
      </w:r>
      <w:r>
        <w:rPr>
          <w:rFonts w:ascii="Times New Roman" w:hAnsi="Times New Roman"/>
          <w:szCs w:val="20"/>
        </w:rPr>
        <w:t xml:space="preserve">, it always starts from downlink (if any) and end from uplink  (if </w:t>
      </w:r>
      <w:r>
        <w:rPr>
          <w:rFonts w:ascii="Times New Roman" w:hAnsi="Times New Roman"/>
          <w:szCs w:val="20"/>
        </w:rPr>
        <w:lastRenderedPageBreak/>
        <w:t xml:space="preserve">any)transmission within a periodicity.  For </w:t>
      </w:r>
      <w:r w:rsidRPr="00111D52">
        <w:rPr>
          <w:rFonts w:ascii="Times New Roman" w:hAnsi="Times New Roman"/>
          <w:i/>
          <w:szCs w:val="20"/>
        </w:rPr>
        <w:t>TDD-UL-DL-ConfigDedicated</w:t>
      </w:r>
      <w:r w:rsidRPr="00B21029">
        <w:rPr>
          <w:rFonts w:ascii="Times New Roman" w:hAnsi="Times New Roman"/>
          <w:szCs w:val="20"/>
        </w:rPr>
        <w:t xml:space="preserve">, it always </w:t>
      </w:r>
      <w:r>
        <w:rPr>
          <w:rFonts w:ascii="Times New Roman" w:hAnsi="Times New Roman"/>
          <w:szCs w:val="20"/>
        </w:rPr>
        <w:t xml:space="preserve">starts from downlink (if any) and end from uplink (if any) transmission within a slot. Considering SDM access and backhaul traffic multiplexing, backhaul and access link may have different transmission directions at the same time. Hence, it is expected to further extend the signalling design for backhaul link signalling. For example, it is propose to not restrict the transmission always start from downlink and end with uplink for </w:t>
      </w:r>
      <w:r w:rsidRPr="00111D52">
        <w:rPr>
          <w:rFonts w:ascii="Times New Roman" w:hAnsi="Times New Roman"/>
          <w:i/>
          <w:szCs w:val="20"/>
        </w:rPr>
        <w:t>TDD-UL-DL-ConfigurationCommon</w:t>
      </w:r>
      <w:r w:rsidRPr="00111D52">
        <w:rPr>
          <w:rFonts w:ascii="Times New Roman" w:hAnsi="Times New Roman"/>
          <w:szCs w:val="20"/>
        </w:rPr>
        <w:t xml:space="preserve">, </w:t>
      </w:r>
      <w:r w:rsidRPr="00111D52">
        <w:rPr>
          <w:rFonts w:ascii="Times New Roman" w:hAnsi="Times New Roman"/>
          <w:i/>
          <w:szCs w:val="20"/>
        </w:rPr>
        <w:t>TDD-UL-DL-ConfigDedicated</w:t>
      </w:r>
      <w:r>
        <w:rPr>
          <w:rFonts w:ascii="Times New Roman" w:hAnsi="Times New Roman"/>
          <w:szCs w:val="20"/>
        </w:rPr>
        <w:t>.</w:t>
      </w:r>
    </w:p>
    <w:p w14:paraId="26C92DF7" w14:textId="77777777" w:rsidR="00CE13BF" w:rsidRDefault="00CE13BF" w:rsidP="00CE13BF">
      <w:pPr>
        <w:pStyle w:val="a0"/>
        <w:rPr>
          <w:rFonts w:ascii="Times New Roman" w:hAnsi="Times New Roman"/>
          <w:szCs w:val="20"/>
        </w:rPr>
      </w:pPr>
      <w:r>
        <w:rPr>
          <w:rFonts w:ascii="Times New Roman" w:hAnsi="Times New Roman"/>
          <w:szCs w:val="20"/>
        </w:rPr>
        <w:t>For dynamic SFI, the current signalling alread provides enough flexibility from traffic adaptation perspective. Annex 1 provides an overview of the current supported slot formats. For the same reason to support SDM for BH and AC link, it is proposed to introduce more slot formats which allows more flexible uplink transmission from the beginning of the slot. Note such slot format can be a complementary to the existing slot format which the downlink transmission starts first and the number of symbols is very flexible. As a consequence, the BH and AC link can use these complementary slot formats respectively in order to allow SDM multiplexing between BH and AC.</w:t>
      </w:r>
    </w:p>
    <w:p w14:paraId="0EF52A96" w14:textId="16DCC89C" w:rsidR="00CE13BF" w:rsidRDefault="00CE13BF" w:rsidP="00CE13BF">
      <w:pPr>
        <w:pStyle w:val="a0"/>
        <w:rPr>
          <w:rFonts w:ascii="Times New Roman" w:hAnsi="Times New Roman"/>
          <w:b/>
          <w:szCs w:val="20"/>
        </w:rPr>
      </w:pPr>
      <w:r w:rsidRPr="00FB411C">
        <w:rPr>
          <w:rFonts w:ascii="Times New Roman" w:hAnsi="Times New Roman"/>
          <w:b/>
          <w:szCs w:val="20"/>
        </w:rPr>
        <w:t xml:space="preserve">Proposal </w:t>
      </w:r>
      <w:r w:rsidR="00134261">
        <w:rPr>
          <w:rFonts w:ascii="Times New Roman" w:hAnsi="Times New Roman"/>
          <w:b/>
          <w:szCs w:val="20"/>
        </w:rPr>
        <w:t>1</w:t>
      </w:r>
      <w:r w:rsidRPr="00FB411C">
        <w:rPr>
          <w:rFonts w:ascii="Times New Roman" w:hAnsi="Times New Roman"/>
          <w:b/>
          <w:szCs w:val="20"/>
        </w:rPr>
        <w:t xml:space="preserve">: Slot format for backhaul link can be design based on the existing </w:t>
      </w:r>
      <w:r w:rsidRPr="00FB411C">
        <w:rPr>
          <w:rFonts w:ascii="Times New Roman" w:hAnsi="Times New Roman"/>
          <w:b/>
          <w:i/>
          <w:szCs w:val="20"/>
        </w:rPr>
        <w:t>TDD-UL-DL-ConfigurationCommon</w:t>
      </w:r>
      <w:r w:rsidRPr="00FB411C">
        <w:rPr>
          <w:rFonts w:ascii="Times New Roman" w:hAnsi="Times New Roman"/>
          <w:b/>
          <w:szCs w:val="20"/>
        </w:rPr>
        <w:t xml:space="preserve">, </w:t>
      </w:r>
      <w:r w:rsidRPr="00FB411C">
        <w:rPr>
          <w:rFonts w:ascii="Times New Roman" w:hAnsi="Times New Roman"/>
          <w:b/>
          <w:i/>
          <w:szCs w:val="20"/>
        </w:rPr>
        <w:t>TDD-UL-DL-ConfigDedicated</w:t>
      </w:r>
      <w:r w:rsidRPr="00FB411C">
        <w:rPr>
          <w:rFonts w:ascii="Times New Roman" w:hAnsi="Times New Roman"/>
          <w:b/>
          <w:szCs w:val="20"/>
        </w:rPr>
        <w:t xml:space="preserve"> and slot format table defined in Table 4.3.2-3 in TS38.211</w:t>
      </w:r>
      <w:r>
        <w:rPr>
          <w:rFonts w:ascii="Times New Roman" w:hAnsi="Times New Roman"/>
          <w:b/>
          <w:szCs w:val="20"/>
        </w:rPr>
        <w:t>. Extending of the signaling should be considered for the followings,</w:t>
      </w:r>
    </w:p>
    <w:p w14:paraId="6E6F6567" w14:textId="6677ED0C" w:rsidR="00CE13BF" w:rsidRPr="00B054C9" w:rsidRDefault="00CE13BF" w:rsidP="00CE13BF">
      <w:pPr>
        <w:pStyle w:val="a0"/>
        <w:numPr>
          <w:ilvl w:val="0"/>
          <w:numId w:val="15"/>
        </w:numPr>
        <w:rPr>
          <w:rFonts w:ascii="Times New Roman" w:hAnsi="Times New Roman"/>
          <w:b/>
          <w:szCs w:val="20"/>
        </w:rPr>
      </w:pPr>
      <w:r w:rsidRPr="00B054C9">
        <w:rPr>
          <w:rFonts w:ascii="Times New Roman" w:hAnsi="Times New Roman"/>
          <w:b/>
          <w:szCs w:val="20"/>
        </w:rPr>
        <w:t>No restrict</w:t>
      </w:r>
      <w:r>
        <w:rPr>
          <w:rFonts w:ascii="Times New Roman" w:hAnsi="Times New Roman"/>
          <w:b/>
          <w:szCs w:val="20"/>
        </w:rPr>
        <w:t>ion</w:t>
      </w:r>
      <w:r w:rsidRPr="00B054C9">
        <w:rPr>
          <w:rFonts w:ascii="Times New Roman" w:hAnsi="Times New Roman"/>
          <w:b/>
          <w:szCs w:val="20"/>
        </w:rPr>
        <w:t xml:space="preserve"> </w:t>
      </w:r>
      <w:r>
        <w:rPr>
          <w:rFonts w:ascii="Times New Roman" w:hAnsi="Times New Roman"/>
          <w:b/>
          <w:szCs w:val="20"/>
        </w:rPr>
        <w:t xml:space="preserve">to </w:t>
      </w:r>
      <w:r w:rsidRPr="00B054C9">
        <w:rPr>
          <w:rFonts w:ascii="Times New Roman" w:hAnsi="Times New Roman"/>
          <w:b/>
          <w:szCs w:val="20"/>
        </w:rPr>
        <w:t xml:space="preserve">always start from downlink and end with uplink for </w:t>
      </w:r>
      <w:r w:rsidRPr="00B054C9">
        <w:rPr>
          <w:rFonts w:ascii="Times New Roman" w:hAnsi="Times New Roman"/>
          <w:b/>
          <w:i/>
          <w:szCs w:val="20"/>
        </w:rPr>
        <w:t>TDD-UL-DL-ConfigurationCommon</w:t>
      </w:r>
      <w:r w:rsidRPr="00B054C9">
        <w:rPr>
          <w:rFonts w:ascii="Times New Roman" w:hAnsi="Times New Roman"/>
          <w:b/>
          <w:szCs w:val="20"/>
        </w:rPr>
        <w:t xml:space="preserve">, </w:t>
      </w:r>
      <w:r w:rsidRPr="00B054C9">
        <w:rPr>
          <w:rFonts w:ascii="Times New Roman" w:hAnsi="Times New Roman"/>
          <w:b/>
          <w:i/>
          <w:szCs w:val="20"/>
        </w:rPr>
        <w:t>TDD-UL-DL-ConfigDedicated</w:t>
      </w:r>
      <w:r w:rsidRPr="000B55E6">
        <w:rPr>
          <w:rFonts w:ascii="Times New Roman" w:hAnsi="Times New Roman"/>
          <w:b/>
          <w:szCs w:val="20"/>
        </w:rPr>
        <w:t xml:space="preserve"> </w:t>
      </w:r>
      <w:r>
        <w:rPr>
          <w:rFonts w:ascii="Times New Roman" w:hAnsi="Times New Roman"/>
          <w:b/>
          <w:szCs w:val="20"/>
        </w:rPr>
        <w:t xml:space="preserve">and </w:t>
      </w:r>
      <w:r w:rsidRPr="00FB411C">
        <w:rPr>
          <w:rFonts w:ascii="Times New Roman" w:hAnsi="Times New Roman"/>
          <w:b/>
          <w:szCs w:val="20"/>
        </w:rPr>
        <w:t>slot format table defined in Table 4.3.2-3 in TS38.21</w:t>
      </w:r>
      <w:r w:rsidR="0056267A">
        <w:rPr>
          <w:rFonts w:ascii="Times New Roman" w:hAnsi="Times New Roman"/>
          <w:b/>
          <w:szCs w:val="20"/>
        </w:rPr>
        <w:t>1</w:t>
      </w:r>
      <w:r w:rsidRPr="00B054C9">
        <w:rPr>
          <w:rFonts w:ascii="Times New Roman" w:hAnsi="Times New Roman"/>
          <w:b/>
          <w:szCs w:val="20"/>
        </w:rPr>
        <w:t>.</w:t>
      </w:r>
    </w:p>
    <w:p w14:paraId="4E7D8C42" w14:textId="16C38953" w:rsidR="00F62558" w:rsidRPr="00F62558" w:rsidRDefault="0056267A" w:rsidP="00F62558">
      <w:pPr>
        <w:pStyle w:val="1"/>
        <w:numPr>
          <w:ilvl w:val="1"/>
          <w:numId w:val="5"/>
        </w:numPr>
        <w:rPr>
          <w:rFonts w:eastAsiaTheme="minorEastAsia"/>
          <w:b w:val="0"/>
          <w:lang w:eastAsia="zh-CN"/>
        </w:rPr>
      </w:pPr>
      <w:r>
        <w:rPr>
          <w:rFonts w:eastAsiaTheme="minorEastAsia"/>
          <w:b w:val="0"/>
          <w:lang w:eastAsia="zh-CN"/>
        </w:rPr>
        <w:t>T</w:t>
      </w:r>
      <w:r w:rsidR="00F62558" w:rsidRPr="00F62558">
        <w:rPr>
          <w:rFonts w:eastAsiaTheme="minorEastAsia"/>
          <w:b w:val="0"/>
          <w:lang w:eastAsia="zh-CN"/>
        </w:rPr>
        <w:t>ime resource types for the DU’s child links</w:t>
      </w:r>
    </w:p>
    <w:p w14:paraId="192C246D" w14:textId="1639B710" w:rsidR="00F62558" w:rsidRDefault="00F62558" w:rsidP="00F62558">
      <w:pPr>
        <w:pStyle w:val="a0"/>
        <w:rPr>
          <w:rFonts w:eastAsiaTheme="minorEastAsia"/>
          <w:szCs w:val="20"/>
          <w:lang w:val="en-GB" w:eastAsia="zh-CN"/>
        </w:rPr>
      </w:pPr>
      <w:r>
        <w:rPr>
          <w:rFonts w:eastAsiaTheme="minorEastAsia"/>
          <w:szCs w:val="20"/>
          <w:lang w:val="en-GB" w:eastAsia="zh-CN"/>
        </w:rPr>
        <w:t>T</w:t>
      </w:r>
      <w:r>
        <w:rPr>
          <w:rFonts w:eastAsiaTheme="minorEastAsia" w:hint="eastAsia"/>
          <w:szCs w:val="20"/>
          <w:lang w:val="en-GB" w:eastAsia="zh-CN"/>
        </w:rPr>
        <w:t xml:space="preserve">he </w:t>
      </w:r>
      <w:r>
        <w:rPr>
          <w:rFonts w:eastAsiaTheme="minorEastAsia"/>
          <w:szCs w:val="20"/>
          <w:lang w:val="en-GB" w:eastAsia="zh-CN"/>
        </w:rPr>
        <w:t>following types of resource allocation are discussed during the study item,</w:t>
      </w:r>
    </w:p>
    <w:tbl>
      <w:tblPr>
        <w:tblStyle w:val="a8"/>
        <w:tblW w:w="0" w:type="auto"/>
        <w:tblLook w:val="04A0" w:firstRow="1" w:lastRow="0" w:firstColumn="1" w:lastColumn="0" w:noHBand="0" w:noVBand="1"/>
      </w:tblPr>
      <w:tblGrid>
        <w:gridCol w:w="9019"/>
      </w:tblGrid>
      <w:tr w:rsidR="00F62558" w:rsidRPr="00F62558" w14:paraId="68DA5EAF" w14:textId="77777777" w:rsidTr="00F62558">
        <w:tc>
          <w:tcPr>
            <w:tcW w:w="9019" w:type="dxa"/>
          </w:tcPr>
          <w:p w14:paraId="216F22F8" w14:textId="77777777" w:rsidR="00F62558" w:rsidRPr="00F62558" w:rsidRDefault="00F62558" w:rsidP="00F62558">
            <w:pPr>
              <w:rPr>
                <w:sz w:val="20"/>
                <w:szCs w:val="20"/>
              </w:rPr>
            </w:pPr>
            <w:r w:rsidRPr="00F62558">
              <w:rPr>
                <w:sz w:val="20"/>
                <w:szCs w:val="20"/>
              </w:rPr>
              <w:t>From a IAB-node DU point-of-view, the child link has the following types of time resources:</w:t>
            </w:r>
          </w:p>
          <w:p w14:paraId="3F9D4715" w14:textId="77777777" w:rsidR="00F62558" w:rsidRPr="00F62558" w:rsidRDefault="00F62558" w:rsidP="00F62558">
            <w:pPr>
              <w:pStyle w:val="B1"/>
              <w:rPr>
                <w:lang w:val="en-US"/>
              </w:rPr>
            </w:pPr>
            <w:r w:rsidRPr="00F62558">
              <w:rPr>
                <w:rFonts w:eastAsia="Malgun Gothic" w:hint="eastAsia"/>
                <w:lang w:val="en-US" w:eastAsia="ko-KR"/>
              </w:rPr>
              <w:t>-</w:t>
            </w:r>
            <w:r w:rsidRPr="00F62558">
              <w:rPr>
                <w:rFonts w:eastAsia="Malgun Gothic" w:hint="eastAsia"/>
                <w:lang w:val="en-US" w:eastAsia="ko-KR"/>
              </w:rPr>
              <w:tab/>
            </w:r>
            <w:r w:rsidRPr="00F62558">
              <w:rPr>
                <w:lang w:val="en-US"/>
              </w:rPr>
              <w:t>Downlink time resource</w:t>
            </w:r>
          </w:p>
          <w:p w14:paraId="0FBCC9F2" w14:textId="77777777" w:rsidR="00F62558" w:rsidRPr="00F62558" w:rsidRDefault="00F62558" w:rsidP="00F62558">
            <w:pPr>
              <w:pStyle w:val="B1"/>
              <w:rPr>
                <w:lang w:val="en-US"/>
              </w:rPr>
            </w:pPr>
            <w:r w:rsidRPr="00F62558">
              <w:rPr>
                <w:rFonts w:eastAsia="Malgun Gothic" w:hint="eastAsia"/>
                <w:lang w:val="en-US" w:eastAsia="ko-KR"/>
              </w:rPr>
              <w:t>-</w:t>
            </w:r>
            <w:r w:rsidRPr="00F62558">
              <w:rPr>
                <w:rFonts w:eastAsia="Malgun Gothic" w:hint="eastAsia"/>
                <w:lang w:val="en-US" w:eastAsia="ko-KR"/>
              </w:rPr>
              <w:tab/>
            </w:r>
            <w:r w:rsidRPr="00F62558">
              <w:rPr>
                <w:lang w:val="en-US"/>
              </w:rPr>
              <w:t>Uplink time resource</w:t>
            </w:r>
          </w:p>
          <w:p w14:paraId="589C102B" w14:textId="77777777" w:rsidR="00F62558" w:rsidRPr="00F62558" w:rsidRDefault="00F62558" w:rsidP="00F62558">
            <w:pPr>
              <w:pStyle w:val="B1"/>
              <w:rPr>
                <w:lang w:val="en-US"/>
              </w:rPr>
            </w:pPr>
            <w:r w:rsidRPr="00F62558">
              <w:rPr>
                <w:rFonts w:eastAsia="Malgun Gothic" w:hint="eastAsia"/>
                <w:lang w:val="en-US" w:eastAsia="ko-KR"/>
              </w:rPr>
              <w:t>-</w:t>
            </w:r>
            <w:r w:rsidRPr="00F62558">
              <w:rPr>
                <w:rFonts w:eastAsia="Malgun Gothic" w:hint="eastAsia"/>
                <w:lang w:val="en-US" w:eastAsia="ko-KR"/>
              </w:rPr>
              <w:tab/>
            </w:r>
            <w:r w:rsidRPr="00F62558">
              <w:rPr>
                <w:lang w:val="en-US"/>
              </w:rPr>
              <w:t xml:space="preserve">Flexible time resource </w:t>
            </w:r>
          </w:p>
          <w:p w14:paraId="0CDCBE87" w14:textId="619FEA19" w:rsidR="00F62558" w:rsidRPr="00F62558" w:rsidRDefault="00F62558" w:rsidP="00F62558">
            <w:pPr>
              <w:pStyle w:val="B1"/>
              <w:rPr>
                <w:lang w:val="en-US"/>
              </w:rPr>
            </w:pPr>
            <w:r w:rsidRPr="00F62558">
              <w:rPr>
                <w:rFonts w:eastAsia="Malgun Gothic" w:hint="eastAsia"/>
                <w:lang w:val="en-US" w:eastAsia="ko-KR"/>
              </w:rPr>
              <w:t>-</w:t>
            </w:r>
            <w:r w:rsidRPr="00F62558">
              <w:rPr>
                <w:rFonts w:eastAsia="Malgun Gothic" w:hint="eastAsia"/>
                <w:lang w:val="en-US" w:eastAsia="ko-KR"/>
              </w:rPr>
              <w:tab/>
            </w:r>
            <w:r w:rsidRPr="00F62558">
              <w:rPr>
                <w:lang w:val="en-US"/>
              </w:rPr>
              <w:t xml:space="preserve">Not available time resources (resources not to be used for communication on the DU child links) </w:t>
            </w:r>
          </w:p>
          <w:p w14:paraId="0B85FF29" w14:textId="77777777" w:rsidR="00F62558" w:rsidRPr="00F62558" w:rsidRDefault="00F62558" w:rsidP="00F62558">
            <w:pPr>
              <w:rPr>
                <w:sz w:val="20"/>
                <w:szCs w:val="20"/>
              </w:rPr>
            </w:pPr>
            <w:r w:rsidRPr="00F62558">
              <w:rPr>
                <w:sz w:val="20"/>
                <w:szCs w:val="20"/>
              </w:rPr>
              <w:t>Each of the downlink, uplink and flexible time-resource types of the DU child link can belong to one of two categories:</w:t>
            </w:r>
          </w:p>
          <w:p w14:paraId="2E9A91A0" w14:textId="77777777" w:rsidR="00F62558" w:rsidRPr="00F62558" w:rsidRDefault="00F62558" w:rsidP="00F62558">
            <w:pPr>
              <w:pStyle w:val="B1"/>
              <w:rPr>
                <w:lang w:val="en-US"/>
              </w:rPr>
            </w:pPr>
            <w:r w:rsidRPr="00F62558">
              <w:rPr>
                <w:rFonts w:eastAsia="Malgun Gothic" w:hint="eastAsia"/>
                <w:lang w:val="en-US" w:eastAsia="ko-KR"/>
              </w:rPr>
              <w:t>-</w:t>
            </w:r>
            <w:r w:rsidRPr="00F62558">
              <w:rPr>
                <w:rFonts w:eastAsia="Malgun Gothic" w:hint="eastAsia"/>
                <w:lang w:val="en-US" w:eastAsia="ko-KR"/>
              </w:rPr>
              <w:tab/>
            </w:r>
            <w:r w:rsidRPr="00F62558">
              <w:rPr>
                <w:lang w:val="en-US"/>
              </w:rPr>
              <w:t xml:space="preserve">Hard: The corresponding time resource is always available for the DU child link </w:t>
            </w:r>
          </w:p>
          <w:p w14:paraId="7822C487" w14:textId="50C666FD" w:rsidR="00F62558" w:rsidRPr="00F62558" w:rsidRDefault="00F62558" w:rsidP="00F62558">
            <w:pPr>
              <w:pStyle w:val="B1"/>
              <w:rPr>
                <w:lang w:val="en-US"/>
              </w:rPr>
            </w:pPr>
            <w:r w:rsidRPr="00F62558">
              <w:rPr>
                <w:rFonts w:eastAsia="Malgun Gothic" w:hint="eastAsia"/>
                <w:lang w:val="en-US" w:eastAsia="ko-KR"/>
              </w:rPr>
              <w:t>-</w:t>
            </w:r>
            <w:r w:rsidRPr="00F62558">
              <w:rPr>
                <w:rFonts w:eastAsia="Malgun Gothic" w:hint="eastAsia"/>
                <w:lang w:val="en-US" w:eastAsia="ko-KR"/>
              </w:rPr>
              <w:tab/>
            </w:r>
            <w:r w:rsidRPr="00F62558">
              <w:rPr>
                <w:lang w:val="en-US"/>
              </w:rPr>
              <w:t>Soft: The availability of the corresponding time resource for the DU child link is explicitly and/or implicitly controlled by the parent node.</w:t>
            </w:r>
          </w:p>
        </w:tc>
      </w:tr>
    </w:tbl>
    <w:p w14:paraId="35A857B6" w14:textId="77777777" w:rsidR="00F62558" w:rsidRDefault="00F62558" w:rsidP="00F62558">
      <w:pPr>
        <w:pStyle w:val="a0"/>
        <w:rPr>
          <w:rFonts w:eastAsiaTheme="minorEastAsia"/>
          <w:szCs w:val="20"/>
          <w:lang w:val="en-GB" w:eastAsia="zh-CN"/>
        </w:rPr>
      </w:pPr>
    </w:p>
    <w:p w14:paraId="03C8E8A0" w14:textId="49DE66BB" w:rsidR="003E6E7D" w:rsidRDefault="003E6E7D" w:rsidP="00F62558">
      <w:pPr>
        <w:pStyle w:val="a0"/>
        <w:rPr>
          <w:szCs w:val="20"/>
        </w:rPr>
      </w:pPr>
      <w:r>
        <w:rPr>
          <w:rFonts w:eastAsiaTheme="minorEastAsia"/>
          <w:szCs w:val="20"/>
          <w:lang w:val="en-GB" w:eastAsia="zh-CN"/>
        </w:rPr>
        <w:t>Therefore, w</w:t>
      </w:r>
      <w:r>
        <w:rPr>
          <w:rFonts w:eastAsiaTheme="minorEastAsia" w:hint="eastAsia"/>
          <w:szCs w:val="20"/>
          <w:lang w:val="en-GB" w:eastAsia="zh-CN"/>
        </w:rPr>
        <w:t xml:space="preserve">ith </w:t>
      </w:r>
      <w:r>
        <w:rPr>
          <w:rFonts w:eastAsiaTheme="minorEastAsia"/>
          <w:szCs w:val="20"/>
          <w:lang w:val="en-GB" w:eastAsia="zh-CN"/>
        </w:rPr>
        <w:t xml:space="preserve">respect to </w:t>
      </w:r>
      <w:r w:rsidRPr="00F62558">
        <w:rPr>
          <w:szCs w:val="20"/>
        </w:rPr>
        <w:t>time-resource types of the DU child link</w:t>
      </w:r>
      <w:r>
        <w:rPr>
          <w:szCs w:val="20"/>
        </w:rPr>
        <w:t>, the following (</w:t>
      </w:r>
      <w:r w:rsidRPr="003F65F4">
        <w:rPr>
          <w:b/>
          <w:szCs w:val="20"/>
        </w:rPr>
        <w:t>7</w:t>
      </w:r>
      <w:r>
        <w:rPr>
          <w:szCs w:val="20"/>
        </w:rPr>
        <w:t>) combinations can be as follows,</w:t>
      </w:r>
    </w:p>
    <w:p w14:paraId="12E228E2" w14:textId="61639027" w:rsidR="003E6E7D" w:rsidRDefault="003E6E7D" w:rsidP="003E6E7D">
      <w:pPr>
        <w:pStyle w:val="B1"/>
        <w:numPr>
          <w:ilvl w:val="0"/>
          <w:numId w:val="19"/>
        </w:numPr>
        <w:rPr>
          <w:lang w:val="en-US"/>
        </w:rPr>
      </w:pPr>
      <w:r w:rsidRPr="003E6E7D">
        <w:rPr>
          <w:lang w:val="en-US"/>
        </w:rPr>
        <w:t>DL hard, DL soft, UL hard, UL soft, Flexible hard, Flexible soft, Not Available</w:t>
      </w:r>
    </w:p>
    <w:p w14:paraId="3FA62888" w14:textId="5DC280B6" w:rsidR="001F358A" w:rsidRPr="007C2702" w:rsidRDefault="0037513D" w:rsidP="00873CD6">
      <w:pPr>
        <w:pStyle w:val="B1"/>
        <w:ind w:left="0" w:firstLine="0"/>
        <w:rPr>
          <w:rFonts w:eastAsiaTheme="minorEastAsia"/>
          <w:lang w:val="en-US" w:eastAsia="zh-CN"/>
        </w:rPr>
      </w:pPr>
      <w:r>
        <w:rPr>
          <w:lang w:val="en-US"/>
        </w:rPr>
        <w:t xml:space="preserve">These resource types should be RRC configured from </w:t>
      </w:r>
      <w:r w:rsidR="00051B53">
        <w:rPr>
          <w:lang w:val="en-US"/>
        </w:rPr>
        <w:t>higher layer</w:t>
      </w:r>
      <w:r>
        <w:rPr>
          <w:lang w:val="en-US"/>
        </w:rPr>
        <w:t xml:space="preserve">. </w:t>
      </w:r>
      <w:r w:rsidR="00695DD9">
        <w:t xml:space="preserve">In case of TDM operation subject to half-duplex </w:t>
      </w:r>
      <w:r w:rsidR="00695DD9" w:rsidRPr="00F366FB">
        <w:t>constraint</w:t>
      </w:r>
      <w:r w:rsidR="00695DD9">
        <w:t>,</w:t>
      </w:r>
      <w:r w:rsidR="00695DD9">
        <w:rPr>
          <w:lang w:val="en-US"/>
        </w:rPr>
        <w:t xml:space="preserve"> </w:t>
      </w:r>
      <w:r>
        <w:rPr>
          <w:lang w:val="en-US"/>
        </w:rPr>
        <w:t>it is expe</w:t>
      </w:r>
      <w:r w:rsidR="00695DD9">
        <w:rPr>
          <w:lang w:val="en-US"/>
        </w:rPr>
        <w:t xml:space="preserve">cted that the </w:t>
      </w:r>
      <w:r w:rsidR="00695DD9">
        <w:t xml:space="preserve">IAB-node/IAB-node DU resources cannot Tx/Rx simultaneously. </w:t>
      </w:r>
    </w:p>
    <w:p w14:paraId="75975498" w14:textId="376E7B10" w:rsidR="0037513D" w:rsidRDefault="00511D42" w:rsidP="0037513D">
      <w:pPr>
        <w:pStyle w:val="B1"/>
        <w:ind w:left="0" w:firstLine="0"/>
        <w:rPr>
          <w:rFonts w:eastAsiaTheme="minorEastAsia"/>
          <w:b/>
          <w:u w:val="single"/>
          <w:lang w:val="en-US" w:eastAsia="zh-CN"/>
        </w:rPr>
      </w:pPr>
      <w:r>
        <w:rPr>
          <w:rFonts w:eastAsiaTheme="minorEastAsia"/>
          <w:b/>
          <w:u w:val="single"/>
          <w:lang w:val="en-US" w:eastAsia="zh-CN"/>
        </w:rPr>
        <w:t>Resource coordination between backhaul and access link for “</w:t>
      </w:r>
      <w:r>
        <w:rPr>
          <w:rFonts w:eastAsiaTheme="minorEastAsia" w:hint="eastAsia"/>
          <w:b/>
          <w:u w:val="single"/>
          <w:lang w:val="en-US" w:eastAsia="zh-CN"/>
        </w:rPr>
        <w:t>Hard</w:t>
      </w:r>
      <w:r>
        <w:rPr>
          <w:rFonts w:eastAsiaTheme="minorEastAsia"/>
          <w:b/>
          <w:u w:val="single"/>
          <w:lang w:val="en-US" w:eastAsia="zh-CN"/>
        </w:rPr>
        <w:t>”</w:t>
      </w:r>
    </w:p>
    <w:p w14:paraId="73ABADF8" w14:textId="64E3380B" w:rsidR="00053DF5" w:rsidRDefault="00053DF5" w:rsidP="0037513D">
      <w:pPr>
        <w:pStyle w:val="B1"/>
        <w:ind w:left="0" w:firstLine="0"/>
        <w:rPr>
          <w:lang w:val="en-US"/>
        </w:rPr>
      </w:pPr>
      <w:r>
        <w:rPr>
          <w:lang w:val="en-US"/>
        </w:rPr>
        <w:t>For resource type “</w:t>
      </w:r>
      <w:r w:rsidR="00873CD6">
        <w:rPr>
          <w:lang w:val="en-US"/>
        </w:rPr>
        <w:t>H</w:t>
      </w:r>
      <w:r>
        <w:rPr>
          <w:lang w:val="en-US"/>
        </w:rPr>
        <w:t xml:space="preserve">ard”, the DU child link always schedules its UEs based on its own decision without taking </w:t>
      </w:r>
      <w:r>
        <w:t>IAB-node</w:t>
      </w:r>
      <w:r>
        <w:rPr>
          <w:lang w:val="en-US"/>
        </w:rPr>
        <w:t xml:space="preserve"> backhaul link resource allocation into consideration. The scheduling constraint is as follows,</w:t>
      </w:r>
    </w:p>
    <w:p w14:paraId="7636A543" w14:textId="4F5966BB" w:rsidR="000D72B3" w:rsidRPr="004F4B4E" w:rsidRDefault="00133CFB" w:rsidP="00053DF5">
      <w:pPr>
        <w:pStyle w:val="B1"/>
        <w:numPr>
          <w:ilvl w:val="0"/>
          <w:numId w:val="20"/>
        </w:numPr>
        <w:rPr>
          <w:rFonts w:eastAsiaTheme="minorEastAsia"/>
          <w:b/>
          <w:u w:val="single"/>
          <w:lang w:val="en-US" w:eastAsia="zh-CN"/>
        </w:rPr>
      </w:pPr>
      <w:r>
        <w:rPr>
          <w:lang w:val="en-US"/>
        </w:rPr>
        <w:t xml:space="preserve">For IAB backhaul link, </w:t>
      </w:r>
      <w:r w:rsidR="000D72B3">
        <w:rPr>
          <w:lang w:val="en-US"/>
        </w:rPr>
        <w:t xml:space="preserve">depending on whether </w:t>
      </w:r>
      <w:r w:rsidR="000D72B3">
        <w:rPr>
          <w:rFonts w:eastAsiaTheme="minorEastAsia"/>
          <w:lang w:val="en-US" w:eastAsia="zh-CN"/>
        </w:rPr>
        <w:t>IAB DU can exchange its scheduling results to parent node, the following alternatives can be considered,</w:t>
      </w:r>
    </w:p>
    <w:p w14:paraId="5D896E97" w14:textId="0FD5FD62" w:rsidR="00827C8C" w:rsidRPr="004F4B4E" w:rsidRDefault="000D72B3" w:rsidP="004F4B4E">
      <w:pPr>
        <w:pStyle w:val="B1"/>
        <w:numPr>
          <w:ilvl w:val="1"/>
          <w:numId w:val="20"/>
        </w:numPr>
        <w:rPr>
          <w:rFonts w:eastAsiaTheme="minorEastAsia"/>
          <w:b/>
          <w:u w:val="single"/>
          <w:lang w:val="en-US" w:eastAsia="zh-CN"/>
        </w:rPr>
      </w:pPr>
      <w:r w:rsidRPr="000D72B3">
        <w:rPr>
          <w:rFonts w:eastAsiaTheme="minorEastAsia"/>
          <w:lang w:val="en-US" w:eastAsia="zh-CN"/>
        </w:rPr>
        <w:t xml:space="preserve">Alt 1: </w:t>
      </w:r>
      <w:r w:rsidR="00827C8C">
        <w:rPr>
          <w:rFonts w:eastAsiaTheme="minorEastAsia"/>
          <w:lang w:val="en-US" w:eastAsia="zh-CN"/>
        </w:rPr>
        <w:t>the usage of the backhaul is restricted by the DU child link type. For example, D and U cannot be used when FH is configured for IAB DU child link, D cannot be used when DH is configured for IAB DU child link, U cannot be used when UH is configured for IAB DU child link</w:t>
      </w:r>
      <w:r w:rsidR="002E0EF2">
        <w:rPr>
          <w:rFonts w:eastAsiaTheme="minorEastAsia"/>
          <w:lang w:val="en-US" w:eastAsia="zh-CN"/>
        </w:rPr>
        <w:t xml:space="preserve"> (</w:t>
      </w:r>
      <w:r w:rsidR="002E0EF2">
        <w:rPr>
          <w:rFonts w:eastAsiaTheme="minorEastAsia"/>
          <w:lang w:val="en-US" w:eastAsia="zh-CN"/>
        </w:rPr>
        <w:fldChar w:fldCharType="begin"/>
      </w:r>
      <w:r w:rsidR="002E0EF2">
        <w:rPr>
          <w:rFonts w:eastAsiaTheme="minorEastAsia"/>
          <w:lang w:val="en-US" w:eastAsia="zh-CN"/>
        </w:rPr>
        <w:instrText xml:space="preserve"> REF _Ref534797187 \h </w:instrText>
      </w:r>
      <w:r w:rsidR="002E0EF2">
        <w:rPr>
          <w:rFonts w:eastAsiaTheme="minorEastAsia"/>
          <w:lang w:val="en-US" w:eastAsia="zh-CN"/>
        </w:rPr>
      </w:r>
      <w:r w:rsidR="002E0EF2">
        <w:rPr>
          <w:rFonts w:eastAsiaTheme="minorEastAsia"/>
          <w:lang w:val="en-US" w:eastAsia="zh-CN"/>
        </w:rPr>
        <w:fldChar w:fldCharType="separate"/>
      </w:r>
      <w:r w:rsidR="002E0EF2">
        <w:t xml:space="preserve">Figure </w:t>
      </w:r>
      <w:r w:rsidR="002E0EF2">
        <w:rPr>
          <w:noProof/>
        </w:rPr>
        <w:t>1</w:t>
      </w:r>
      <w:r w:rsidR="002E0EF2">
        <w:rPr>
          <w:rFonts w:eastAsiaTheme="minorEastAsia"/>
          <w:lang w:val="en-US" w:eastAsia="zh-CN"/>
        </w:rPr>
        <w:fldChar w:fldCharType="end"/>
      </w:r>
      <w:r w:rsidR="002E0EF2">
        <w:rPr>
          <w:rFonts w:eastAsiaTheme="minorEastAsia"/>
          <w:lang w:val="en-US" w:eastAsia="zh-CN"/>
        </w:rPr>
        <w:t>)</w:t>
      </w:r>
      <w:r w:rsidR="00827C8C">
        <w:rPr>
          <w:rFonts w:eastAsiaTheme="minorEastAsia"/>
          <w:lang w:val="en-US" w:eastAsia="zh-CN"/>
        </w:rPr>
        <w:t>.</w:t>
      </w:r>
      <w:r w:rsidR="003875DF">
        <w:rPr>
          <w:rFonts w:eastAsiaTheme="minorEastAsia"/>
          <w:lang w:val="en-US" w:eastAsia="zh-CN"/>
        </w:rPr>
        <w:t xml:space="preserve"> </w:t>
      </w:r>
      <w:r w:rsidR="005D5A72">
        <w:rPr>
          <w:lang w:val="en-US"/>
        </w:rPr>
        <w:t>It is shown</w:t>
      </w:r>
      <w:r w:rsidR="003875DF">
        <w:rPr>
          <w:rFonts w:eastAsiaTheme="minorEastAsia"/>
          <w:lang w:val="en-US" w:eastAsia="zh-CN"/>
        </w:rPr>
        <w:t xml:space="preserve"> in </w:t>
      </w:r>
      <w:r w:rsidR="003875DF" w:rsidRPr="003512B4">
        <w:rPr>
          <w:b/>
          <w:lang w:val="en-US"/>
        </w:rPr>
        <w:t>Table 7.3.3-1</w:t>
      </w:r>
      <w:r w:rsidR="003875DF">
        <w:rPr>
          <w:b/>
          <w:lang w:val="en-US"/>
        </w:rPr>
        <w:t xml:space="preserve"> in TR38.874</w:t>
      </w:r>
      <w:r w:rsidR="005D5A72">
        <w:rPr>
          <w:b/>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2359"/>
        <w:gridCol w:w="2570"/>
        <w:gridCol w:w="2420"/>
      </w:tblGrid>
      <w:tr w:rsidR="0064523E" w:rsidRPr="003512B4" w14:paraId="5FC27142" w14:textId="77777777" w:rsidTr="0064523E">
        <w:tc>
          <w:tcPr>
            <w:tcW w:w="1670" w:type="dxa"/>
            <w:vMerge w:val="restart"/>
            <w:tcBorders>
              <w:top w:val="single" w:sz="4" w:space="0" w:color="auto"/>
              <w:left w:val="single" w:sz="4" w:space="0" w:color="auto"/>
              <w:right w:val="single" w:sz="4" w:space="0" w:color="auto"/>
            </w:tcBorders>
            <w:shd w:val="clear" w:color="auto" w:fill="auto"/>
          </w:tcPr>
          <w:p w14:paraId="29CE2434" w14:textId="77777777" w:rsidR="0064523E" w:rsidRPr="004F4B4E" w:rsidRDefault="0064523E" w:rsidP="00076250">
            <w:pPr>
              <w:rPr>
                <w:rFonts w:eastAsia="Malgun Gothic"/>
                <w:b/>
                <w:sz w:val="20"/>
                <w:szCs w:val="20"/>
                <w:lang w:eastAsia="ko-KR"/>
              </w:rPr>
            </w:pPr>
            <w:r w:rsidRPr="004F4B4E">
              <w:rPr>
                <w:rFonts w:eastAsia="Malgun Gothic"/>
                <w:b/>
                <w:sz w:val="20"/>
                <w:szCs w:val="20"/>
                <w:lang w:eastAsia="ko-KR"/>
              </w:rPr>
              <w:lastRenderedPageBreak/>
              <w:t>DU Configuration</w:t>
            </w:r>
          </w:p>
        </w:tc>
        <w:tc>
          <w:tcPr>
            <w:tcW w:w="7349" w:type="dxa"/>
            <w:gridSpan w:val="3"/>
            <w:tcBorders>
              <w:top w:val="single" w:sz="4" w:space="0" w:color="auto"/>
              <w:left w:val="single" w:sz="4" w:space="0" w:color="auto"/>
              <w:bottom w:val="single" w:sz="4" w:space="0" w:color="auto"/>
              <w:right w:val="single" w:sz="4" w:space="0" w:color="auto"/>
            </w:tcBorders>
            <w:shd w:val="clear" w:color="auto" w:fill="auto"/>
          </w:tcPr>
          <w:p w14:paraId="644FAD91" w14:textId="77777777" w:rsidR="0064523E" w:rsidRPr="004F4B4E" w:rsidRDefault="0064523E" w:rsidP="00076250">
            <w:pPr>
              <w:jc w:val="center"/>
              <w:rPr>
                <w:rFonts w:eastAsia="Malgun Gothic"/>
                <w:b/>
                <w:sz w:val="20"/>
                <w:szCs w:val="20"/>
                <w:lang w:eastAsia="ko-KR"/>
              </w:rPr>
            </w:pPr>
            <w:r w:rsidRPr="004F4B4E">
              <w:rPr>
                <w:rFonts w:eastAsia="Malgun Gothic"/>
                <w:b/>
                <w:sz w:val="20"/>
                <w:szCs w:val="20"/>
                <w:lang w:eastAsia="ko-KR"/>
              </w:rPr>
              <w:t>MT configuration</w:t>
            </w:r>
          </w:p>
        </w:tc>
      </w:tr>
      <w:tr w:rsidR="0064523E" w:rsidRPr="003512B4" w14:paraId="64795987" w14:textId="77777777" w:rsidTr="0064523E">
        <w:tc>
          <w:tcPr>
            <w:tcW w:w="1670" w:type="dxa"/>
            <w:vMerge/>
            <w:tcBorders>
              <w:left w:val="single" w:sz="4" w:space="0" w:color="auto"/>
              <w:bottom w:val="single" w:sz="4" w:space="0" w:color="auto"/>
              <w:right w:val="single" w:sz="4" w:space="0" w:color="auto"/>
            </w:tcBorders>
            <w:shd w:val="clear" w:color="auto" w:fill="auto"/>
            <w:hideMark/>
          </w:tcPr>
          <w:p w14:paraId="417FEC29" w14:textId="77777777" w:rsidR="0064523E" w:rsidRPr="004F4B4E" w:rsidRDefault="0064523E" w:rsidP="00076250">
            <w:pPr>
              <w:rPr>
                <w:rFonts w:eastAsia="Malgun Gothic"/>
                <w:b/>
                <w:sz w:val="20"/>
                <w:szCs w:val="20"/>
                <w:lang w:eastAsia="ko-KR"/>
              </w:rPr>
            </w:pPr>
          </w:p>
        </w:tc>
        <w:tc>
          <w:tcPr>
            <w:tcW w:w="2359" w:type="dxa"/>
            <w:tcBorders>
              <w:top w:val="single" w:sz="4" w:space="0" w:color="auto"/>
              <w:left w:val="single" w:sz="4" w:space="0" w:color="auto"/>
              <w:bottom w:val="single" w:sz="4" w:space="0" w:color="auto"/>
              <w:right w:val="single" w:sz="4" w:space="0" w:color="auto"/>
            </w:tcBorders>
            <w:shd w:val="clear" w:color="auto" w:fill="auto"/>
            <w:hideMark/>
          </w:tcPr>
          <w:p w14:paraId="6393AC0C" w14:textId="77777777" w:rsidR="0064523E" w:rsidRPr="004F4B4E" w:rsidRDefault="0064523E" w:rsidP="004F4B4E">
            <w:pPr>
              <w:jc w:val="center"/>
              <w:rPr>
                <w:rFonts w:eastAsia="Malgun Gothic"/>
                <w:sz w:val="20"/>
                <w:szCs w:val="20"/>
                <w:lang w:eastAsia="ko-KR"/>
              </w:rPr>
            </w:pPr>
            <w:r w:rsidRPr="004F4B4E">
              <w:rPr>
                <w:rFonts w:eastAsia="Malgun Gothic"/>
                <w:sz w:val="20"/>
                <w:szCs w:val="20"/>
                <w:lang w:eastAsia="ko-KR"/>
              </w:rPr>
              <w:t>DL</w:t>
            </w:r>
          </w:p>
        </w:tc>
        <w:tc>
          <w:tcPr>
            <w:tcW w:w="2570" w:type="dxa"/>
            <w:tcBorders>
              <w:top w:val="single" w:sz="4" w:space="0" w:color="auto"/>
              <w:left w:val="single" w:sz="4" w:space="0" w:color="auto"/>
              <w:bottom w:val="single" w:sz="4" w:space="0" w:color="auto"/>
              <w:right w:val="single" w:sz="4" w:space="0" w:color="auto"/>
            </w:tcBorders>
            <w:shd w:val="clear" w:color="auto" w:fill="auto"/>
            <w:hideMark/>
          </w:tcPr>
          <w:p w14:paraId="333C2951" w14:textId="77777777" w:rsidR="0064523E" w:rsidRPr="004F4B4E" w:rsidRDefault="0064523E" w:rsidP="004F4B4E">
            <w:pPr>
              <w:jc w:val="center"/>
              <w:rPr>
                <w:rFonts w:eastAsia="Malgun Gothic"/>
                <w:sz w:val="20"/>
                <w:szCs w:val="20"/>
                <w:lang w:eastAsia="ko-KR"/>
              </w:rPr>
            </w:pPr>
            <w:r w:rsidRPr="004F4B4E">
              <w:rPr>
                <w:rFonts w:eastAsia="Malgun Gothic"/>
                <w:sz w:val="20"/>
                <w:szCs w:val="20"/>
                <w:lang w:eastAsia="ko-KR"/>
              </w:rPr>
              <w:t>UL</w:t>
            </w:r>
          </w:p>
        </w:tc>
        <w:tc>
          <w:tcPr>
            <w:tcW w:w="2420" w:type="dxa"/>
            <w:tcBorders>
              <w:top w:val="single" w:sz="4" w:space="0" w:color="auto"/>
              <w:left w:val="single" w:sz="4" w:space="0" w:color="auto"/>
              <w:bottom w:val="single" w:sz="4" w:space="0" w:color="auto"/>
              <w:right w:val="single" w:sz="4" w:space="0" w:color="auto"/>
            </w:tcBorders>
          </w:tcPr>
          <w:p w14:paraId="2609E3EA" w14:textId="77777777" w:rsidR="0064523E" w:rsidRPr="004F4B4E" w:rsidRDefault="0064523E" w:rsidP="004F4B4E">
            <w:pPr>
              <w:jc w:val="center"/>
              <w:rPr>
                <w:rFonts w:eastAsia="Malgun Gothic"/>
                <w:sz w:val="20"/>
                <w:szCs w:val="20"/>
                <w:lang w:eastAsia="ko-KR"/>
              </w:rPr>
            </w:pPr>
            <w:r w:rsidRPr="004F4B4E">
              <w:rPr>
                <w:rFonts w:eastAsia="Malgun Gothic"/>
                <w:sz w:val="20"/>
                <w:szCs w:val="20"/>
                <w:lang w:eastAsia="ko-KR"/>
              </w:rPr>
              <w:t>F</w:t>
            </w:r>
          </w:p>
        </w:tc>
      </w:tr>
      <w:tr w:rsidR="0064523E" w:rsidRPr="003512B4" w14:paraId="4419C26A" w14:textId="77777777" w:rsidTr="004F4B4E">
        <w:trPr>
          <w:trHeight w:val="62"/>
        </w:trPr>
        <w:tc>
          <w:tcPr>
            <w:tcW w:w="1670" w:type="dxa"/>
            <w:tcBorders>
              <w:top w:val="single" w:sz="4" w:space="0" w:color="auto"/>
              <w:left w:val="single" w:sz="4" w:space="0" w:color="auto"/>
              <w:bottom w:val="single" w:sz="4" w:space="0" w:color="auto"/>
              <w:right w:val="single" w:sz="4" w:space="0" w:color="auto"/>
            </w:tcBorders>
            <w:shd w:val="clear" w:color="auto" w:fill="auto"/>
            <w:hideMark/>
          </w:tcPr>
          <w:p w14:paraId="1E6C81DD" w14:textId="77777777" w:rsidR="0064523E" w:rsidRPr="004F4B4E" w:rsidRDefault="0064523E" w:rsidP="00076250">
            <w:pPr>
              <w:rPr>
                <w:rFonts w:eastAsia="Malgun Gothic"/>
                <w:sz w:val="20"/>
                <w:szCs w:val="20"/>
                <w:lang w:eastAsia="ko-KR"/>
              </w:rPr>
            </w:pPr>
            <w:r w:rsidRPr="004F4B4E">
              <w:rPr>
                <w:rFonts w:eastAsia="Malgun Gothic"/>
                <w:sz w:val="20"/>
                <w:szCs w:val="20"/>
                <w:lang w:eastAsia="ko-KR"/>
              </w:rPr>
              <w:t>DL-H</w:t>
            </w:r>
          </w:p>
        </w:tc>
        <w:tc>
          <w:tcPr>
            <w:tcW w:w="2359" w:type="dxa"/>
            <w:tcBorders>
              <w:top w:val="single" w:sz="4" w:space="0" w:color="auto"/>
              <w:left w:val="single" w:sz="4" w:space="0" w:color="auto"/>
              <w:bottom w:val="single" w:sz="4" w:space="0" w:color="auto"/>
              <w:right w:val="single" w:sz="4" w:space="0" w:color="auto"/>
            </w:tcBorders>
            <w:shd w:val="clear" w:color="auto" w:fill="auto"/>
          </w:tcPr>
          <w:p w14:paraId="43BEAB64" w14:textId="77777777" w:rsidR="0064523E" w:rsidRPr="0064523E" w:rsidRDefault="0064523E" w:rsidP="00076250">
            <w:pPr>
              <w:pStyle w:val="af3"/>
              <w:spacing w:before="120" w:line="256" w:lineRule="auto"/>
              <w:ind w:left="176" w:firstLine="400"/>
              <w:rPr>
                <w:rFonts w:ascii="Times New Roman" w:eastAsia="Malgun Gothic" w:hAnsi="Times New Roman" w:cs="Times New Roman"/>
                <w:sz w:val="20"/>
                <w:szCs w:val="20"/>
                <w:lang w:eastAsia="ko-KR"/>
              </w:rPr>
            </w:pPr>
            <w:r w:rsidRPr="0064523E">
              <w:rPr>
                <w:rFonts w:ascii="Times New Roman" w:eastAsia="Malgun Gothic" w:hAnsi="Times New Roman" w:cs="Times New Roman"/>
                <w:sz w:val="20"/>
                <w:szCs w:val="20"/>
                <w:lang w:eastAsia="ko-KR"/>
              </w:rPr>
              <w:t>DU: Tx</w:t>
            </w:r>
          </w:p>
          <w:p w14:paraId="04C1E656" w14:textId="77777777" w:rsidR="0064523E" w:rsidRPr="0064523E" w:rsidRDefault="0064523E" w:rsidP="00076250">
            <w:pPr>
              <w:pStyle w:val="af3"/>
              <w:spacing w:before="120" w:line="256" w:lineRule="auto"/>
              <w:ind w:left="176" w:firstLine="400"/>
              <w:rPr>
                <w:rFonts w:ascii="Times New Roman" w:eastAsia="Malgun Gothic" w:hAnsi="Times New Roman" w:cs="Times New Roman"/>
                <w:sz w:val="20"/>
                <w:szCs w:val="20"/>
                <w:lang w:eastAsia="ko-KR"/>
              </w:rPr>
            </w:pPr>
            <w:r w:rsidRPr="0064523E">
              <w:rPr>
                <w:rFonts w:ascii="Times New Roman" w:eastAsia="Malgun Gothic" w:hAnsi="Times New Roman" w:cs="Times New Roman"/>
                <w:sz w:val="20"/>
                <w:szCs w:val="20"/>
                <w:lang w:eastAsia="ko-KR"/>
              </w:rPr>
              <w:t>MT: NULL</w:t>
            </w:r>
          </w:p>
        </w:tc>
        <w:tc>
          <w:tcPr>
            <w:tcW w:w="2570" w:type="dxa"/>
            <w:tcBorders>
              <w:top w:val="single" w:sz="4" w:space="0" w:color="auto"/>
              <w:left w:val="single" w:sz="4" w:space="0" w:color="auto"/>
              <w:bottom w:val="single" w:sz="4" w:space="0" w:color="auto"/>
              <w:right w:val="single" w:sz="4" w:space="0" w:color="auto"/>
            </w:tcBorders>
            <w:shd w:val="clear" w:color="auto" w:fill="auto"/>
          </w:tcPr>
          <w:p w14:paraId="6370D5A0" w14:textId="77777777" w:rsidR="0064523E" w:rsidRDefault="0064523E" w:rsidP="004F4B4E">
            <w:pPr>
              <w:pStyle w:val="af3"/>
              <w:spacing w:before="120" w:line="256" w:lineRule="auto"/>
              <w:ind w:left="176" w:firstLine="400"/>
              <w:rPr>
                <w:rFonts w:ascii="Times New Roman" w:eastAsia="Malgun Gothic" w:hAnsi="Times New Roman" w:cs="Times New Roman"/>
                <w:sz w:val="20"/>
                <w:szCs w:val="20"/>
                <w:lang w:eastAsia="ko-KR"/>
              </w:rPr>
            </w:pPr>
            <w:r w:rsidRPr="0064523E">
              <w:rPr>
                <w:rFonts w:ascii="Times New Roman" w:eastAsia="Malgun Gothic" w:hAnsi="Times New Roman" w:cs="Times New Roman"/>
                <w:sz w:val="20"/>
                <w:szCs w:val="20"/>
                <w:lang w:eastAsia="ko-KR"/>
              </w:rPr>
              <w:t>DU: Tx</w:t>
            </w:r>
          </w:p>
          <w:p w14:paraId="3BBDE449" w14:textId="7AC03A35" w:rsidR="0064523E" w:rsidRPr="0064523E" w:rsidRDefault="0064523E" w:rsidP="004F4B4E">
            <w:pPr>
              <w:pStyle w:val="af3"/>
              <w:spacing w:before="120" w:line="256" w:lineRule="auto"/>
              <w:ind w:left="176" w:firstLine="400"/>
              <w:rPr>
                <w:rFonts w:ascii="Times New Roman" w:eastAsia="Malgun Gothic" w:hAnsi="Times New Roman" w:cs="Times New Roman"/>
                <w:sz w:val="20"/>
                <w:szCs w:val="20"/>
                <w:lang w:eastAsia="ko-KR"/>
              </w:rPr>
            </w:pPr>
            <w:r w:rsidRPr="0064523E">
              <w:rPr>
                <w:rFonts w:ascii="Times New Roman" w:eastAsia="Malgun Gothic" w:hAnsi="Times New Roman" w:cs="Times New Roman"/>
                <w:sz w:val="20"/>
                <w:szCs w:val="20"/>
                <w:lang w:eastAsia="ko-KR"/>
              </w:rPr>
              <w:t>MT: NULL</w:t>
            </w:r>
          </w:p>
        </w:tc>
        <w:tc>
          <w:tcPr>
            <w:tcW w:w="2420" w:type="dxa"/>
            <w:tcBorders>
              <w:top w:val="single" w:sz="4" w:space="0" w:color="auto"/>
              <w:left w:val="single" w:sz="4" w:space="0" w:color="auto"/>
              <w:bottom w:val="single" w:sz="4" w:space="0" w:color="auto"/>
              <w:right w:val="single" w:sz="4" w:space="0" w:color="auto"/>
            </w:tcBorders>
          </w:tcPr>
          <w:p w14:paraId="1C627228" w14:textId="77777777" w:rsidR="0064523E" w:rsidRDefault="0064523E" w:rsidP="004F4B4E">
            <w:pPr>
              <w:pStyle w:val="af3"/>
              <w:spacing w:before="120" w:line="256" w:lineRule="auto"/>
              <w:ind w:left="176" w:firstLine="400"/>
              <w:rPr>
                <w:rFonts w:ascii="Times New Roman" w:eastAsia="Malgun Gothic" w:hAnsi="Times New Roman" w:cs="Times New Roman"/>
                <w:sz w:val="20"/>
                <w:szCs w:val="20"/>
                <w:lang w:eastAsia="ko-KR"/>
              </w:rPr>
            </w:pPr>
            <w:r w:rsidRPr="0064523E">
              <w:rPr>
                <w:rFonts w:ascii="Times New Roman" w:eastAsia="Malgun Gothic" w:hAnsi="Times New Roman" w:cs="Times New Roman"/>
                <w:sz w:val="20"/>
                <w:szCs w:val="20"/>
                <w:lang w:eastAsia="ko-KR"/>
              </w:rPr>
              <w:t>DU: Tx</w:t>
            </w:r>
          </w:p>
          <w:p w14:paraId="2ECB30BE" w14:textId="07C22A9F" w:rsidR="0064523E" w:rsidRPr="0064523E" w:rsidRDefault="0064523E" w:rsidP="004F4B4E">
            <w:pPr>
              <w:pStyle w:val="af3"/>
              <w:spacing w:before="120" w:line="256" w:lineRule="auto"/>
              <w:ind w:left="176" w:firstLine="400"/>
              <w:rPr>
                <w:rFonts w:ascii="Times New Roman" w:eastAsia="Malgun Gothic" w:hAnsi="Times New Roman" w:cs="Times New Roman"/>
                <w:sz w:val="20"/>
                <w:szCs w:val="20"/>
                <w:lang w:eastAsia="ko-KR"/>
              </w:rPr>
            </w:pPr>
            <w:r w:rsidRPr="0064523E">
              <w:rPr>
                <w:rFonts w:ascii="Times New Roman" w:eastAsia="Malgun Gothic" w:hAnsi="Times New Roman" w:cs="Times New Roman"/>
                <w:sz w:val="20"/>
                <w:szCs w:val="20"/>
                <w:lang w:eastAsia="ko-KR"/>
              </w:rPr>
              <w:t xml:space="preserve">MT: </w:t>
            </w:r>
            <w:r w:rsidRPr="004F4B4E">
              <w:rPr>
                <w:rFonts w:ascii="Times New Roman" w:eastAsia="Malgun Gothic" w:hAnsi="Times New Roman" w:cs="Times New Roman"/>
                <w:color w:val="FF0000"/>
                <w:sz w:val="20"/>
                <w:szCs w:val="20"/>
                <w:lang w:eastAsia="ko-KR"/>
              </w:rPr>
              <w:t>NULL</w:t>
            </w:r>
          </w:p>
        </w:tc>
      </w:tr>
      <w:tr w:rsidR="0064523E" w:rsidRPr="009B128A" w14:paraId="15CC038C" w14:textId="77777777" w:rsidTr="0064523E">
        <w:tc>
          <w:tcPr>
            <w:tcW w:w="1670" w:type="dxa"/>
            <w:tcBorders>
              <w:top w:val="single" w:sz="4" w:space="0" w:color="auto"/>
              <w:left w:val="single" w:sz="4" w:space="0" w:color="auto"/>
              <w:bottom w:val="single" w:sz="4" w:space="0" w:color="auto"/>
              <w:right w:val="single" w:sz="4" w:space="0" w:color="auto"/>
            </w:tcBorders>
            <w:shd w:val="clear" w:color="auto" w:fill="auto"/>
            <w:hideMark/>
          </w:tcPr>
          <w:p w14:paraId="34E30E07" w14:textId="77777777" w:rsidR="0064523E" w:rsidRPr="004F4B4E" w:rsidRDefault="0064523E" w:rsidP="00076250">
            <w:pPr>
              <w:rPr>
                <w:rFonts w:eastAsia="Malgun Gothic"/>
                <w:sz w:val="20"/>
                <w:szCs w:val="20"/>
                <w:lang w:eastAsia="ko-KR"/>
              </w:rPr>
            </w:pPr>
            <w:r w:rsidRPr="004F4B4E">
              <w:rPr>
                <w:rFonts w:eastAsia="Malgun Gothic"/>
                <w:sz w:val="20"/>
                <w:szCs w:val="20"/>
                <w:lang w:eastAsia="ko-KR"/>
              </w:rPr>
              <w:t>UL-H</w:t>
            </w:r>
          </w:p>
        </w:tc>
        <w:tc>
          <w:tcPr>
            <w:tcW w:w="2359" w:type="dxa"/>
            <w:tcBorders>
              <w:top w:val="single" w:sz="4" w:space="0" w:color="auto"/>
              <w:left w:val="single" w:sz="4" w:space="0" w:color="auto"/>
              <w:bottom w:val="single" w:sz="4" w:space="0" w:color="auto"/>
              <w:right w:val="single" w:sz="4" w:space="0" w:color="auto"/>
            </w:tcBorders>
            <w:shd w:val="clear" w:color="auto" w:fill="auto"/>
          </w:tcPr>
          <w:p w14:paraId="059DF75E" w14:textId="77777777" w:rsidR="0064523E" w:rsidRPr="0064523E" w:rsidRDefault="0064523E" w:rsidP="00076250">
            <w:pPr>
              <w:pStyle w:val="af3"/>
              <w:spacing w:before="120" w:line="256" w:lineRule="auto"/>
              <w:ind w:left="176" w:firstLine="400"/>
              <w:rPr>
                <w:rFonts w:ascii="Times New Roman" w:eastAsia="Malgun Gothic" w:hAnsi="Times New Roman" w:cs="Times New Roman"/>
                <w:sz w:val="20"/>
                <w:szCs w:val="20"/>
                <w:lang w:eastAsia="ko-KR"/>
              </w:rPr>
            </w:pPr>
            <w:r w:rsidRPr="0064523E">
              <w:rPr>
                <w:rFonts w:ascii="Times New Roman" w:eastAsia="Malgun Gothic" w:hAnsi="Times New Roman" w:cs="Times New Roman"/>
                <w:sz w:val="20"/>
                <w:szCs w:val="20"/>
                <w:lang w:eastAsia="ko-KR"/>
              </w:rPr>
              <w:t>DU: Rx</w:t>
            </w:r>
          </w:p>
          <w:p w14:paraId="182775F1" w14:textId="77777777" w:rsidR="0064523E" w:rsidRPr="0064523E" w:rsidRDefault="0064523E" w:rsidP="00076250">
            <w:pPr>
              <w:pStyle w:val="af3"/>
              <w:spacing w:before="120" w:line="256" w:lineRule="auto"/>
              <w:ind w:left="176" w:firstLine="400"/>
              <w:rPr>
                <w:rFonts w:ascii="Times New Roman" w:eastAsia="Malgun Gothic" w:hAnsi="Times New Roman" w:cs="Times New Roman"/>
                <w:sz w:val="20"/>
                <w:szCs w:val="20"/>
                <w:lang w:eastAsia="ko-KR"/>
              </w:rPr>
            </w:pPr>
            <w:r w:rsidRPr="0064523E">
              <w:rPr>
                <w:rFonts w:ascii="Times New Roman" w:eastAsia="Malgun Gothic" w:hAnsi="Times New Roman" w:cs="Times New Roman"/>
                <w:sz w:val="20"/>
                <w:szCs w:val="20"/>
                <w:lang w:eastAsia="ko-KR"/>
              </w:rPr>
              <w:t>MT: NULL</w:t>
            </w:r>
          </w:p>
        </w:tc>
        <w:tc>
          <w:tcPr>
            <w:tcW w:w="2570" w:type="dxa"/>
            <w:tcBorders>
              <w:top w:val="single" w:sz="4" w:space="0" w:color="auto"/>
              <w:left w:val="single" w:sz="4" w:space="0" w:color="auto"/>
              <w:bottom w:val="single" w:sz="4" w:space="0" w:color="auto"/>
              <w:right w:val="single" w:sz="4" w:space="0" w:color="auto"/>
            </w:tcBorders>
            <w:shd w:val="clear" w:color="auto" w:fill="auto"/>
          </w:tcPr>
          <w:p w14:paraId="3CE45925" w14:textId="77777777" w:rsidR="0064523E" w:rsidRPr="0064523E" w:rsidRDefault="0064523E" w:rsidP="00076250">
            <w:pPr>
              <w:pStyle w:val="af3"/>
              <w:spacing w:before="120" w:line="256" w:lineRule="auto"/>
              <w:ind w:left="176" w:firstLine="400"/>
              <w:rPr>
                <w:rFonts w:ascii="Times New Roman" w:eastAsia="Malgun Gothic" w:hAnsi="Times New Roman" w:cs="Times New Roman"/>
                <w:sz w:val="20"/>
                <w:szCs w:val="20"/>
                <w:lang w:eastAsia="ko-KR"/>
              </w:rPr>
            </w:pPr>
            <w:r w:rsidRPr="0064523E">
              <w:rPr>
                <w:rFonts w:ascii="Times New Roman" w:eastAsia="Malgun Gothic" w:hAnsi="Times New Roman" w:cs="Times New Roman"/>
                <w:sz w:val="20"/>
                <w:szCs w:val="20"/>
                <w:lang w:eastAsia="ko-KR"/>
              </w:rPr>
              <w:t>DU: Rx</w:t>
            </w:r>
          </w:p>
          <w:p w14:paraId="1F3CBBEE" w14:textId="77777777" w:rsidR="0064523E" w:rsidRPr="0064523E" w:rsidRDefault="0064523E" w:rsidP="0064523E">
            <w:pPr>
              <w:pStyle w:val="af3"/>
              <w:spacing w:before="120" w:line="256" w:lineRule="auto"/>
              <w:ind w:left="176" w:firstLine="400"/>
              <w:rPr>
                <w:rFonts w:ascii="Times New Roman" w:eastAsia="Malgun Gothic" w:hAnsi="Times New Roman" w:cs="Times New Roman"/>
                <w:sz w:val="20"/>
                <w:szCs w:val="20"/>
                <w:lang w:eastAsia="ko-KR"/>
              </w:rPr>
            </w:pPr>
            <w:r w:rsidRPr="0064523E">
              <w:rPr>
                <w:rFonts w:ascii="Times New Roman" w:eastAsia="Malgun Gothic" w:hAnsi="Times New Roman" w:cs="Times New Roman"/>
                <w:sz w:val="20"/>
                <w:szCs w:val="20"/>
                <w:lang w:eastAsia="ko-KR"/>
              </w:rPr>
              <w:t>MT: NULL</w:t>
            </w:r>
          </w:p>
        </w:tc>
        <w:tc>
          <w:tcPr>
            <w:tcW w:w="2420" w:type="dxa"/>
            <w:tcBorders>
              <w:top w:val="single" w:sz="4" w:space="0" w:color="auto"/>
              <w:left w:val="single" w:sz="4" w:space="0" w:color="auto"/>
              <w:bottom w:val="single" w:sz="4" w:space="0" w:color="auto"/>
              <w:right w:val="single" w:sz="4" w:space="0" w:color="auto"/>
            </w:tcBorders>
          </w:tcPr>
          <w:p w14:paraId="78026AFB" w14:textId="77777777" w:rsidR="0064523E" w:rsidRPr="0064523E" w:rsidRDefault="0064523E" w:rsidP="00076250">
            <w:pPr>
              <w:pStyle w:val="af3"/>
              <w:spacing w:before="120" w:line="256" w:lineRule="auto"/>
              <w:ind w:left="176" w:firstLine="400"/>
              <w:rPr>
                <w:rFonts w:ascii="Times New Roman" w:eastAsia="Malgun Gothic" w:hAnsi="Times New Roman" w:cs="Times New Roman"/>
                <w:sz w:val="20"/>
                <w:szCs w:val="20"/>
                <w:lang w:eastAsia="ko-KR"/>
              </w:rPr>
            </w:pPr>
            <w:r w:rsidRPr="0064523E">
              <w:rPr>
                <w:rFonts w:ascii="Times New Roman" w:eastAsia="Malgun Gothic" w:hAnsi="Times New Roman" w:cs="Times New Roman"/>
                <w:sz w:val="20"/>
                <w:szCs w:val="20"/>
                <w:lang w:eastAsia="ko-KR"/>
              </w:rPr>
              <w:t>DU: Rx</w:t>
            </w:r>
          </w:p>
          <w:p w14:paraId="0FCF1101" w14:textId="77777777" w:rsidR="0064523E" w:rsidRPr="0064523E" w:rsidRDefault="0064523E" w:rsidP="0064523E">
            <w:pPr>
              <w:pStyle w:val="af3"/>
              <w:spacing w:before="120" w:line="256" w:lineRule="auto"/>
              <w:ind w:left="176" w:firstLine="400"/>
              <w:rPr>
                <w:rFonts w:ascii="Times New Roman" w:eastAsia="Malgun Gothic" w:hAnsi="Times New Roman" w:cs="Times New Roman"/>
                <w:sz w:val="20"/>
                <w:szCs w:val="20"/>
                <w:lang w:eastAsia="ko-KR"/>
              </w:rPr>
            </w:pPr>
            <w:r w:rsidRPr="0064523E">
              <w:rPr>
                <w:rFonts w:ascii="Times New Roman" w:eastAsia="Malgun Gothic" w:hAnsi="Times New Roman" w:cs="Times New Roman"/>
                <w:sz w:val="20"/>
                <w:szCs w:val="20"/>
                <w:lang w:eastAsia="ko-KR"/>
              </w:rPr>
              <w:t xml:space="preserve">MT: </w:t>
            </w:r>
            <w:r w:rsidRPr="004F4B4E">
              <w:rPr>
                <w:rFonts w:ascii="Times New Roman" w:eastAsia="Malgun Gothic" w:hAnsi="Times New Roman" w:cs="Times New Roman"/>
                <w:color w:val="FF0000"/>
                <w:sz w:val="20"/>
                <w:szCs w:val="20"/>
                <w:lang w:eastAsia="ko-KR"/>
              </w:rPr>
              <w:t xml:space="preserve">NULL </w:t>
            </w:r>
          </w:p>
        </w:tc>
      </w:tr>
      <w:tr w:rsidR="0064523E" w:rsidRPr="009B128A" w14:paraId="7135090C" w14:textId="77777777" w:rsidTr="0064523E">
        <w:tc>
          <w:tcPr>
            <w:tcW w:w="1670" w:type="dxa"/>
            <w:tcBorders>
              <w:top w:val="single" w:sz="4" w:space="0" w:color="auto"/>
              <w:left w:val="single" w:sz="4" w:space="0" w:color="auto"/>
              <w:bottom w:val="single" w:sz="4" w:space="0" w:color="auto"/>
              <w:right w:val="single" w:sz="4" w:space="0" w:color="auto"/>
            </w:tcBorders>
            <w:shd w:val="clear" w:color="auto" w:fill="auto"/>
            <w:hideMark/>
          </w:tcPr>
          <w:p w14:paraId="18832EBE" w14:textId="77777777" w:rsidR="0064523E" w:rsidRPr="004F4B4E" w:rsidRDefault="0064523E" w:rsidP="00076250">
            <w:pPr>
              <w:rPr>
                <w:rFonts w:eastAsia="Malgun Gothic"/>
                <w:sz w:val="20"/>
                <w:szCs w:val="20"/>
                <w:lang w:eastAsia="ko-KR"/>
              </w:rPr>
            </w:pPr>
            <w:r w:rsidRPr="004F4B4E">
              <w:rPr>
                <w:rFonts w:eastAsia="Malgun Gothic"/>
                <w:sz w:val="20"/>
                <w:szCs w:val="20"/>
                <w:lang w:eastAsia="ko-KR"/>
              </w:rPr>
              <w:t>F-H</w:t>
            </w:r>
          </w:p>
        </w:tc>
        <w:tc>
          <w:tcPr>
            <w:tcW w:w="2359" w:type="dxa"/>
            <w:tcBorders>
              <w:top w:val="single" w:sz="4" w:space="0" w:color="auto"/>
              <w:left w:val="single" w:sz="4" w:space="0" w:color="auto"/>
              <w:bottom w:val="single" w:sz="4" w:space="0" w:color="auto"/>
              <w:right w:val="single" w:sz="4" w:space="0" w:color="auto"/>
            </w:tcBorders>
            <w:shd w:val="clear" w:color="auto" w:fill="auto"/>
          </w:tcPr>
          <w:p w14:paraId="7BA4E1C0" w14:textId="77777777" w:rsidR="0064523E" w:rsidRPr="0064523E" w:rsidRDefault="0064523E" w:rsidP="00076250">
            <w:pPr>
              <w:pStyle w:val="af3"/>
              <w:spacing w:before="120" w:line="256" w:lineRule="auto"/>
              <w:ind w:left="176" w:firstLine="400"/>
              <w:rPr>
                <w:rFonts w:ascii="Times New Roman" w:eastAsia="Malgun Gothic" w:hAnsi="Times New Roman" w:cs="Times New Roman"/>
                <w:sz w:val="20"/>
                <w:szCs w:val="20"/>
                <w:lang w:eastAsia="ko-KR"/>
              </w:rPr>
            </w:pPr>
            <w:r w:rsidRPr="0064523E">
              <w:rPr>
                <w:rFonts w:ascii="Times New Roman" w:eastAsia="Malgun Gothic" w:hAnsi="Times New Roman" w:cs="Times New Roman"/>
                <w:sz w:val="20"/>
                <w:szCs w:val="20"/>
                <w:lang w:eastAsia="ko-KR"/>
              </w:rPr>
              <w:t>DU: Tx/Rx</w:t>
            </w:r>
          </w:p>
          <w:p w14:paraId="7F757277" w14:textId="77777777" w:rsidR="0064523E" w:rsidRPr="0064523E" w:rsidRDefault="0064523E" w:rsidP="0064523E">
            <w:pPr>
              <w:pStyle w:val="af3"/>
              <w:spacing w:before="120" w:line="256" w:lineRule="auto"/>
              <w:ind w:left="176" w:firstLine="400"/>
              <w:rPr>
                <w:rFonts w:ascii="Times New Roman" w:eastAsia="Malgun Gothic" w:hAnsi="Times New Roman" w:cs="Times New Roman"/>
                <w:sz w:val="20"/>
                <w:szCs w:val="20"/>
                <w:lang w:eastAsia="ko-KR"/>
              </w:rPr>
            </w:pPr>
            <w:r w:rsidRPr="0064523E">
              <w:rPr>
                <w:rFonts w:ascii="Times New Roman" w:eastAsia="Malgun Gothic" w:hAnsi="Times New Roman" w:cs="Times New Roman"/>
                <w:sz w:val="20"/>
                <w:szCs w:val="20"/>
                <w:lang w:eastAsia="ko-KR"/>
              </w:rPr>
              <w:t>MT: NULL</w:t>
            </w:r>
          </w:p>
        </w:tc>
        <w:tc>
          <w:tcPr>
            <w:tcW w:w="2570" w:type="dxa"/>
            <w:tcBorders>
              <w:top w:val="single" w:sz="4" w:space="0" w:color="auto"/>
              <w:left w:val="single" w:sz="4" w:space="0" w:color="auto"/>
              <w:bottom w:val="single" w:sz="4" w:space="0" w:color="auto"/>
              <w:right w:val="single" w:sz="4" w:space="0" w:color="auto"/>
            </w:tcBorders>
            <w:shd w:val="clear" w:color="auto" w:fill="auto"/>
          </w:tcPr>
          <w:p w14:paraId="57B538D7" w14:textId="77777777" w:rsidR="0064523E" w:rsidRPr="0064523E" w:rsidRDefault="0064523E" w:rsidP="00076250">
            <w:pPr>
              <w:pStyle w:val="af3"/>
              <w:spacing w:before="120" w:line="256" w:lineRule="auto"/>
              <w:ind w:left="176" w:firstLine="400"/>
              <w:rPr>
                <w:rFonts w:ascii="Times New Roman" w:eastAsia="Malgun Gothic" w:hAnsi="Times New Roman" w:cs="Times New Roman"/>
                <w:sz w:val="20"/>
                <w:szCs w:val="20"/>
                <w:lang w:eastAsia="ko-KR"/>
              </w:rPr>
            </w:pPr>
            <w:r w:rsidRPr="0064523E">
              <w:rPr>
                <w:rFonts w:ascii="Times New Roman" w:eastAsia="Malgun Gothic" w:hAnsi="Times New Roman" w:cs="Times New Roman"/>
                <w:sz w:val="20"/>
                <w:szCs w:val="20"/>
                <w:lang w:eastAsia="ko-KR"/>
              </w:rPr>
              <w:t>DU: Tx/Rx</w:t>
            </w:r>
          </w:p>
          <w:p w14:paraId="5E526273" w14:textId="77777777" w:rsidR="0064523E" w:rsidRPr="0064523E" w:rsidRDefault="0064523E" w:rsidP="0064523E">
            <w:pPr>
              <w:pStyle w:val="af3"/>
              <w:spacing w:before="120" w:line="256" w:lineRule="auto"/>
              <w:ind w:left="176" w:firstLine="400"/>
              <w:rPr>
                <w:rFonts w:ascii="Times New Roman" w:eastAsia="Malgun Gothic" w:hAnsi="Times New Roman" w:cs="Times New Roman"/>
                <w:sz w:val="20"/>
                <w:szCs w:val="20"/>
                <w:lang w:eastAsia="ko-KR"/>
              </w:rPr>
            </w:pPr>
            <w:r w:rsidRPr="0064523E">
              <w:rPr>
                <w:rFonts w:ascii="Times New Roman" w:eastAsia="Malgun Gothic" w:hAnsi="Times New Roman" w:cs="Times New Roman"/>
                <w:sz w:val="20"/>
                <w:szCs w:val="20"/>
                <w:lang w:eastAsia="ko-KR"/>
              </w:rPr>
              <w:t>MT: NULL</w:t>
            </w:r>
          </w:p>
        </w:tc>
        <w:tc>
          <w:tcPr>
            <w:tcW w:w="2420" w:type="dxa"/>
            <w:tcBorders>
              <w:top w:val="single" w:sz="4" w:space="0" w:color="auto"/>
              <w:left w:val="single" w:sz="4" w:space="0" w:color="auto"/>
              <w:bottom w:val="single" w:sz="4" w:space="0" w:color="auto"/>
              <w:right w:val="single" w:sz="4" w:space="0" w:color="auto"/>
            </w:tcBorders>
          </w:tcPr>
          <w:p w14:paraId="1997C785" w14:textId="77777777" w:rsidR="0064523E" w:rsidRPr="0064523E" w:rsidRDefault="0064523E" w:rsidP="00076250">
            <w:pPr>
              <w:pStyle w:val="af3"/>
              <w:spacing w:before="120" w:line="256" w:lineRule="auto"/>
              <w:ind w:left="176" w:firstLine="400"/>
              <w:rPr>
                <w:rFonts w:ascii="Times New Roman" w:eastAsia="Malgun Gothic" w:hAnsi="Times New Roman" w:cs="Times New Roman"/>
                <w:sz w:val="20"/>
                <w:szCs w:val="20"/>
                <w:lang w:eastAsia="ko-KR"/>
              </w:rPr>
            </w:pPr>
            <w:r w:rsidRPr="0064523E">
              <w:rPr>
                <w:rFonts w:ascii="Times New Roman" w:eastAsia="Malgun Gothic" w:hAnsi="Times New Roman" w:cs="Times New Roman"/>
                <w:sz w:val="20"/>
                <w:szCs w:val="20"/>
                <w:lang w:eastAsia="ko-KR"/>
              </w:rPr>
              <w:t>DU: Tx/Rx</w:t>
            </w:r>
          </w:p>
          <w:p w14:paraId="6ECE08D0" w14:textId="77777777" w:rsidR="0064523E" w:rsidRPr="0064523E" w:rsidRDefault="0064523E" w:rsidP="0064523E">
            <w:pPr>
              <w:pStyle w:val="af3"/>
              <w:spacing w:before="120" w:line="256" w:lineRule="auto"/>
              <w:ind w:left="176" w:firstLine="400"/>
              <w:rPr>
                <w:rFonts w:ascii="Times New Roman" w:eastAsia="Malgun Gothic" w:hAnsi="Times New Roman" w:cs="Times New Roman"/>
                <w:sz w:val="20"/>
                <w:szCs w:val="20"/>
                <w:lang w:eastAsia="ko-KR"/>
              </w:rPr>
            </w:pPr>
            <w:r w:rsidRPr="0064523E">
              <w:rPr>
                <w:rFonts w:ascii="Times New Roman" w:eastAsia="Malgun Gothic" w:hAnsi="Times New Roman" w:cs="Times New Roman"/>
                <w:sz w:val="20"/>
                <w:szCs w:val="20"/>
                <w:lang w:eastAsia="ko-KR"/>
              </w:rPr>
              <w:t xml:space="preserve">MT: </w:t>
            </w:r>
            <w:r w:rsidRPr="004F4B4E">
              <w:rPr>
                <w:rFonts w:ascii="Times New Roman" w:eastAsia="Malgun Gothic" w:hAnsi="Times New Roman" w:cs="Times New Roman"/>
                <w:color w:val="FF0000"/>
                <w:sz w:val="20"/>
                <w:szCs w:val="20"/>
                <w:lang w:eastAsia="ko-KR"/>
              </w:rPr>
              <w:t>NULL</w:t>
            </w:r>
          </w:p>
        </w:tc>
      </w:tr>
    </w:tbl>
    <w:p w14:paraId="42BA7B87" w14:textId="0721D51F" w:rsidR="00B5409A" w:rsidRDefault="00B5409A" w:rsidP="002E0EF2">
      <w:pPr>
        <w:pStyle w:val="a5"/>
        <w:jc w:val="center"/>
      </w:pPr>
      <w:bookmarkStart w:id="3" w:name="_Ref534797187"/>
      <w:r>
        <w:rPr>
          <w:noProof/>
          <w:lang w:eastAsia="zh-CN"/>
        </w:rPr>
        <w:drawing>
          <wp:inline distT="0" distB="0" distL="0" distR="0" wp14:anchorId="37F9A907" wp14:editId="7FD6562B">
            <wp:extent cx="5661965" cy="1400831"/>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85539" cy="1406664"/>
                    </a:xfrm>
                    <a:prstGeom prst="rect">
                      <a:avLst/>
                    </a:prstGeom>
                    <a:noFill/>
                  </pic:spPr>
                </pic:pic>
              </a:graphicData>
            </a:graphic>
          </wp:inline>
        </w:drawing>
      </w:r>
    </w:p>
    <w:p w14:paraId="31822285" w14:textId="60418D10" w:rsidR="002E0EF2" w:rsidRPr="0037513D" w:rsidRDefault="002E0EF2" w:rsidP="002E0EF2">
      <w:pPr>
        <w:pStyle w:val="a5"/>
        <w:jc w:val="center"/>
      </w:pPr>
      <w:r>
        <w:t xml:space="preserve">Figure </w:t>
      </w:r>
      <w:r w:rsidR="00D26A2E">
        <w:fldChar w:fldCharType="begin"/>
      </w:r>
      <w:r w:rsidR="00D26A2E">
        <w:instrText xml:space="preserve"> SEQ Figure \* ARABIC </w:instrText>
      </w:r>
      <w:r w:rsidR="00D26A2E">
        <w:fldChar w:fldCharType="separate"/>
      </w:r>
      <w:r>
        <w:rPr>
          <w:noProof/>
        </w:rPr>
        <w:t>1</w:t>
      </w:r>
      <w:r w:rsidR="00D26A2E">
        <w:rPr>
          <w:noProof/>
        </w:rPr>
        <w:fldChar w:fldCharType="end"/>
      </w:r>
      <w:bookmarkEnd w:id="3"/>
      <w:r>
        <w:t xml:space="preserve"> scheduling restriction for each </w:t>
      </w:r>
      <w:r w:rsidRPr="00F62558">
        <w:t>time-resource types</w:t>
      </w:r>
      <w:r w:rsidR="00B5409A">
        <w:t xml:space="preserve"> for TDM</w:t>
      </w:r>
    </w:p>
    <w:p w14:paraId="0F24DB96" w14:textId="05F0BDA3" w:rsidR="002E0EF2" w:rsidRPr="004F4B4E" w:rsidRDefault="002E0EF2" w:rsidP="004F4B4E">
      <w:pPr>
        <w:pStyle w:val="B1"/>
        <w:rPr>
          <w:rFonts w:eastAsiaTheme="minorEastAsia"/>
          <w:b/>
          <w:u w:val="single"/>
          <w:lang w:val="en-US" w:eastAsia="zh-CN"/>
        </w:rPr>
      </w:pPr>
    </w:p>
    <w:p w14:paraId="37BDD5EA" w14:textId="6AE3C573" w:rsidR="00053DF5" w:rsidRPr="004F4B4E" w:rsidRDefault="000D72B3" w:rsidP="004F4B4E">
      <w:pPr>
        <w:pStyle w:val="B1"/>
        <w:numPr>
          <w:ilvl w:val="1"/>
          <w:numId w:val="20"/>
        </w:numPr>
        <w:rPr>
          <w:rFonts w:eastAsiaTheme="minorEastAsia"/>
          <w:b/>
          <w:u w:val="single"/>
          <w:lang w:val="en-US" w:eastAsia="zh-CN"/>
        </w:rPr>
      </w:pPr>
      <w:r>
        <w:rPr>
          <w:lang w:val="en-US"/>
        </w:rPr>
        <w:t xml:space="preserve">Alt 2: </w:t>
      </w:r>
      <w:r w:rsidR="00873CD6">
        <w:rPr>
          <w:rFonts w:eastAsiaTheme="minorEastAsia"/>
          <w:lang w:val="en-US" w:eastAsia="zh-CN"/>
        </w:rPr>
        <w:t xml:space="preserve">IAB DU can exchange its scheduling results to parent node, such that </w:t>
      </w:r>
      <w:r w:rsidR="00053DF5" w:rsidRPr="00873CD6">
        <w:rPr>
          <w:lang w:val="en-US"/>
        </w:rPr>
        <w:t xml:space="preserve">the parent node decide </w:t>
      </w:r>
      <w:r w:rsidR="00873CD6">
        <w:rPr>
          <w:lang w:val="en-US"/>
        </w:rPr>
        <w:t xml:space="preserve">how to schedule the backhaul </w:t>
      </w:r>
      <w:r w:rsidR="00053DF5" w:rsidRPr="00873CD6">
        <w:rPr>
          <w:lang w:val="en-US"/>
        </w:rPr>
        <w:t>resource</w:t>
      </w:r>
      <w:r w:rsidR="00873CD6">
        <w:rPr>
          <w:lang w:val="en-US"/>
        </w:rPr>
        <w:t>s</w:t>
      </w:r>
      <w:r w:rsidR="00053DF5" w:rsidRPr="00873CD6">
        <w:rPr>
          <w:lang w:val="en-US"/>
        </w:rPr>
        <w:t>.</w:t>
      </w:r>
      <w:r w:rsidR="003875DF">
        <w:rPr>
          <w:lang w:val="en-US"/>
        </w:rPr>
        <w:t xml:space="preserve"> </w:t>
      </w:r>
      <w:r w:rsidR="005D5A72">
        <w:rPr>
          <w:lang w:val="en-US"/>
        </w:rPr>
        <w:t xml:space="preserve">It is shown </w:t>
      </w:r>
      <w:r w:rsidR="003875DF">
        <w:rPr>
          <w:lang w:val="en-US"/>
        </w:rPr>
        <w:t xml:space="preserve">in </w:t>
      </w:r>
      <w:r w:rsidR="003875DF" w:rsidRPr="003512B4">
        <w:rPr>
          <w:b/>
          <w:lang w:val="en-US"/>
        </w:rPr>
        <w:t>Table 7.3.3-</w:t>
      </w:r>
      <w:r w:rsidR="003875DF">
        <w:rPr>
          <w:b/>
          <w:lang w:val="en-US"/>
        </w:rPr>
        <w:t>2 in TR38.874</w:t>
      </w:r>
      <w:r w:rsidR="005D5A72">
        <w:rPr>
          <w:b/>
          <w:lang w:val="en-US"/>
        </w:rPr>
        <w:t>.</w:t>
      </w:r>
    </w:p>
    <w:p w14:paraId="0AD15E28" w14:textId="77777777" w:rsidR="00D45C9C" w:rsidRPr="0031452B" w:rsidRDefault="00D45C9C" w:rsidP="00D45C9C">
      <w:pPr>
        <w:pStyle w:val="B1"/>
        <w:numPr>
          <w:ilvl w:val="2"/>
          <w:numId w:val="20"/>
        </w:numPr>
        <w:rPr>
          <w:rFonts w:eastAsiaTheme="minorEastAsia"/>
          <w:b/>
          <w:u w:val="single"/>
          <w:lang w:val="en-US" w:eastAsia="zh-CN"/>
        </w:rPr>
      </w:pPr>
      <w:r>
        <w:rPr>
          <w:lang w:val="en-US"/>
        </w:rPr>
        <w:t>If DH is configured for IAB DU child link, usage of U for backhaul is not restricted, a.k.a, FDM or SDM for backhaul and access link</w:t>
      </w:r>
    </w:p>
    <w:p w14:paraId="1D15EA71" w14:textId="77777777" w:rsidR="00D45C9C" w:rsidRPr="00BA002A" w:rsidRDefault="00D45C9C" w:rsidP="00D45C9C">
      <w:pPr>
        <w:pStyle w:val="B1"/>
        <w:numPr>
          <w:ilvl w:val="2"/>
          <w:numId w:val="20"/>
        </w:numPr>
        <w:rPr>
          <w:rFonts w:eastAsiaTheme="minorEastAsia"/>
          <w:b/>
          <w:u w:val="single"/>
          <w:lang w:val="en-US" w:eastAsia="zh-CN"/>
        </w:rPr>
      </w:pPr>
      <w:r>
        <w:rPr>
          <w:lang w:val="en-US"/>
        </w:rPr>
        <w:t>If UH is configured for IAB DU child link, usage of D for backhaul is not restricted, a.k.a, FDM or SDM for backhaul and access link.</w:t>
      </w:r>
    </w:p>
    <w:p w14:paraId="6CCFB695" w14:textId="5AD2EA7E" w:rsidR="00D45C9C" w:rsidRPr="00053DF5" w:rsidRDefault="00D45C9C" w:rsidP="00D45C9C">
      <w:pPr>
        <w:pStyle w:val="B1"/>
        <w:numPr>
          <w:ilvl w:val="2"/>
          <w:numId w:val="20"/>
        </w:numPr>
        <w:rPr>
          <w:rFonts w:eastAsiaTheme="minorEastAsia"/>
          <w:b/>
          <w:u w:val="single"/>
          <w:lang w:val="en-US" w:eastAsia="zh-CN"/>
        </w:rPr>
      </w:pPr>
      <w:r>
        <w:rPr>
          <w:lang w:val="en-US"/>
        </w:rPr>
        <w:t xml:space="preserve">For IAB DU child link, U/D cannot be used when DH/UH is configured </w:t>
      </w:r>
      <w:r w:rsidR="005D5A72">
        <w:rPr>
          <w:lang w:val="en-US"/>
        </w:rPr>
        <w:t>f</w:t>
      </w:r>
      <w:r>
        <w:rPr>
          <w:lang w:val="en-US"/>
        </w:rPr>
        <w:t>or IAB DU child link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2359"/>
        <w:gridCol w:w="2570"/>
        <w:gridCol w:w="2420"/>
      </w:tblGrid>
      <w:tr w:rsidR="0064523E" w:rsidRPr="003512B4" w14:paraId="7AFE3ADA" w14:textId="77777777" w:rsidTr="00076250">
        <w:tc>
          <w:tcPr>
            <w:tcW w:w="1670" w:type="dxa"/>
            <w:vMerge w:val="restart"/>
            <w:tcBorders>
              <w:top w:val="single" w:sz="4" w:space="0" w:color="auto"/>
              <w:left w:val="single" w:sz="4" w:space="0" w:color="auto"/>
              <w:right w:val="single" w:sz="4" w:space="0" w:color="auto"/>
            </w:tcBorders>
            <w:shd w:val="clear" w:color="auto" w:fill="auto"/>
          </w:tcPr>
          <w:p w14:paraId="07DC05D7" w14:textId="77777777" w:rsidR="0064523E" w:rsidRPr="007F1DB8" w:rsidRDefault="0064523E" w:rsidP="00076250">
            <w:pPr>
              <w:rPr>
                <w:rFonts w:eastAsia="Malgun Gothic"/>
                <w:b/>
                <w:sz w:val="20"/>
                <w:szCs w:val="20"/>
                <w:lang w:eastAsia="ko-KR"/>
              </w:rPr>
            </w:pPr>
            <w:r w:rsidRPr="007F1DB8">
              <w:rPr>
                <w:rFonts w:eastAsia="Malgun Gothic"/>
                <w:b/>
                <w:sz w:val="20"/>
                <w:szCs w:val="20"/>
                <w:lang w:eastAsia="ko-KR"/>
              </w:rPr>
              <w:t>DU Configuration</w:t>
            </w:r>
          </w:p>
        </w:tc>
        <w:tc>
          <w:tcPr>
            <w:tcW w:w="7349" w:type="dxa"/>
            <w:gridSpan w:val="3"/>
            <w:tcBorders>
              <w:top w:val="single" w:sz="4" w:space="0" w:color="auto"/>
              <w:left w:val="single" w:sz="4" w:space="0" w:color="auto"/>
              <w:bottom w:val="single" w:sz="4" w:space="0" w:color="auto"/>
              <w:right w:val="single" w:sz="4" w:space="0" w:color="auto"/>
            </w:tcBorders>
            <w:shd w:val="clear" w:color="auto" w:fill="auto"/>
          </w:tcPr>
          <w:p w14:paraId="1ED8B757" w14:textId="77777777" w:rsidR="0064523E" w:rsidRPr="007F1DB8" w:rsidRDefault="0064523E" w:rsidP="00076250">
            <w:pPr>
              <w:jc w:val="center"/>
              <w:rPr>
                <w:rFonts w:eastAsia="Malgun Gothic"/>
                <w:b/>
                <w:sz w:val="20"/>
                <w:szCs w:val="20"/>
                <w:lang w:eastAsia="ko-KR"/>
              </w:rPr>
            </w:pPr>
            <w:r w:rsidRPr="007F1DB8">
              <w:rPr>
                <w:rFonts w:eastAsia="Malgun Gothic"/>
                <w:b/>
                <w:sz w:val="20"/>
                <w:szCs w:val="20"/>
                <w:lang w:eastAsia="ko-KR"/>
              </w:rPr>
              <w:t>MT configuration</w:t>
            </w:r>
          </w:p>
        </w:tc>
      </w:tr>
      <w:tr w:rsidR="0064523E" w:rsidRPr="003512B4" w14:paraId="593F4830" w14:textId="77777777" w:rsidTr="00076250">
        <w:tc>
          <w:tcPr>
            <w:tcW w:w="1670" w:type="dxa"/>
            <w:vMerge/>
            <w:tcBorders>
              <w:left w:val="single" w:sz="4" w:space="0" w:color="auto"/>
              <w:bottom w:val="single" w:sz="4" w:space="0" w:color="auto"/>
              <w:right w:val="single" w:sz="4" w:space="0" w:color="auto"/>
            </w:tcBorders>
            <w:shd w:val="clear" w:color="auto" w:fill="auto"/>
            <w:hideMark/>
          </w:tcPr>
          <w:p w14:paraId="0624AA85" w14:textId="77777777" w:rsidR="0064523E" w:rsidRPr="007F1DB8" w:rsidRDefault="0064523E" w:rsidP="00076250">
            <w:pPr>
              <w:rPr>
                <w:rFonts w:eastAsia="Malgun Gothic"/>
                <w:b/>
                <w:sz w:val="20"/>
                <w:szCs w:val="20"/>
                <w:lang w:eastAsia="ko-KR"/>
              </w:rPr>
            </w:pPr>
          </w:p>
        </w:tc>
        <w:tc>
          <w:tcPr>
            <w:tcW w:w="2359" w:type="dxa"/>
            <w:tcBorders>
              <w:top w:val="single" w:sz="4" w:space="0" w:color="auto"/>
              <w:left w:val="single" w:sz="4" w:space="0" w:color="auto"/>
              <w:bottom w:val="single" w:sz="4" w:space="0" w:color="auto"/>
              <w:right w:val="single" w:sz="4" w:space="0" w:color="auto"/>
            </w:tcBorders>
            <w:shd w:val="clear" w:color="auto" w:fill="auto"/>
            <w:hideMark/>
          </w:tcPr>
          <w:p w14:paraId="47AE6464" w14:textId="77777777" w:rsidR="0064523E" w:rsidRPr="007F1DB8" w:rsidRDefault="0064523E" w:rsidP="00076250">
            <w:pPr>
              <w:jc w:val="center"/>
              <w:rPr>
                <w:rFonts w:eastAsia="Malgun Gothic"/>
                <w:sz w:val="20"/>
                <w:szCs w:val="20"/>
                <w:lang w:eastAsia="ko-KR"/>
              </w:rPr>
            </w:pPr>
            <w:r w:rsidRPr="007F1DB8">
              <w:rPr>
                <w:rFonts w:eastAsia="Malgun Gothic"/>
                <w:sz w:val="20"/>
                <w:szCs w:val="20"/>
                <w:lang w:eastAsia="ko-KR"/>
              </w:rPr>
              <w:t>DL</w:t>
            </w:r>
          </w:p>
        </w:tc>
        <w:tc>
          <w:tcPr>
            <w:tcW w:w="2570" w:type="dxa"/>
            <w:tcBorders>
              <w:top w:val="single" w:sz="4" w:space="0" w:color="auto"/>
              <w:left w:val="single" w:sz="4" w:space="0" w:color="auto"/>
              <w:bottom w:val="single" w:sz="4" w:space="0" w:color="auto"/>
              <w:right w:val="single" w:sz="4" w:space="0" w:color="auto"/>
            </w:tcBorders>
            <w:shd w:val="clear" w:color="auto" w:fill="auto"/>
            <w:hideMark/>
          </w:tcPr>
          <w:p w14:paraId="084E3363" w14:textId="77777777" w:rsidR="0064523E" w:rsidRPr="007F1DB8" w:rsidRDefault="0064523E" w:rsidP="00076250">
            <w:pPr>
              <w:jc w:val="center"/>
              <w:rPr>
                <w:rFonts w:eastAsia="Malgun Gothic"/>
                <w:sz w:val="20"/>
                <w:szCs w:val="20"/>
                <w:lang w:eastAsia="ko-KR"/>
              </w:rPr>
            </w:pPr>
            <w:r w:rsidRPr="007F1DB8">
              <w:rPr>
                <w:rFonts w:eastAsia="Malgun Gothic"/>
                <w:sz w:val="20"/>
                <w:szCs w:val="20"/>
                <w:lang w:eastAsia="ko-KR"/>
              </w:rPr>
              <w:t>UL</w:t>
            </w:r>
          </w:p>
        </w:tc>
        <w:tc>
          <w:tcPr>
            <w:tcW w:w="2420" w:type="dxa"/>
            <w:tcBorders>
              <w:top w:val="single" w:sz="4" w:space="0" w:color="auto"/>
              <w:left w:val="single" w:sz="4" w:space="0" w:color="auto"/>
              <w:bottom w:val="single" w:sz="4" w:space="0" w:color="auto"/>
              <w:right w:val="single" w:sz="4" w:space="0" w:color="auto"/>
            </w:tcBorders>
          </w:tcPr>
          <w:p w14:paraId="3B161563" w14:textId="77777777" w:rsidR="0064523E" w:rsidRPr="007F1DB8" w:rsidRDefault="0064523E" w:rsidP="00076250">
            <w:pPr>
              <w:jc w:val="center"/>
              <w:rPr>
                <w:rFonts w:eastAsia="Malgun Gothic"/>
                <w:sz w:val="20"/>
                <w:szCs w:val="20"/>
                <w:lang w:eastAsia="ko-KR"/>
              </w:rPr>
            </w:pPr>
            <w:r w:rsidRPr="007F1DB8">
              <w:rPr>
                <w:rFonts w:eastAsia="Malgun Gothic"/>
                <w:sz w:val="20"/>
                <w:szCs w:val="20"/>
                <w:lang w:eastAsia="ko-KR"/>
              </w:rPr>
              <w:t>F</w:t>
            </w:r>
          </w:p>
        </w:tc>
      </w:tr>
      <w:tr w:rsidR="0064523E" w:rsidRPr="003512B4" w14:paraId="2A5A886A" w14:textId="77777777" w:rsidTr="00076250">
        <w:trPr>
          <w:trHeight w:val="62"/>
        </w:trPr>
        <w:tc>
          <w:tcPr>
            <w:tcW w:w="1670" w:type="dxa"/>
            <w:tcBorders>
              <w:top w:val="single" w:sz="4" w:space="0" w:color="auto"/>
              <w:left w:val="single" w:sz="4" w:space="0" w:color="auto"/>
              <w:bottom w:val="single" w:sz="4" w:space="0" w:color="auto"/>
              <w:right w:val="single" w:sz="4" w:space="0" w:color="auto"/>
            </w:tcBorders>
            <w:shd w:val="clear" w:color="auto" w:fill="auto"/>
            <w:hideMark/>
          </w:tcPr>
          <w:p w14:paraId="6BC12F61" w14:textId="6924E94B" w:rsidR="0064523E" w:rsidRPr="007F1DB8" w:rsidRDefault="0064523E" w:rsidP="0064523E">
            <w:pPr>
              <w:rPr>
                <w:rFonts w:eastAsia="Malgun Gothic"/>
                <w:sz w:val="20"/>
                <w:szCs w:val="20"/>
                <w:lang w:eastAsia="ko-KR"/>
              </w:rPr>
            </w:pPr>
            <w:r w:rsidRPr="004F4B4E">
              <w:rPr>
                <w:rFonts w:eastAsia="Malgun Gothic"/>
                <w:sz w:val="20"/>
                <w:szCs w:val="20"/>
                <w:lang w:eastAsia="ko-KR"/>
              </w:rPr>
              <w:t>DL-H</w:t>
            </w:r>
          </w:p>
        </w:tc>
        <w:tc>
          <w:tcPr>
            <w:tcW w:w="2359" w:type="dxa"/>
            <w:tcBorders>
              <w:top w:val="single" w:sz="4" w:space="0" w:color="auto"/>
              <w:left w:val="single" w:sz="4" w:space="0" w:color="auto"/>
              <w:bottom w:val="single" w:sz="4" w:space="0" w:color="auto"/>
              <w:right w:val="single" w:sz="4" w:space="0" w:color="auto"/>
            </w:tcBorders>
            <w:shd w:val="clear" w:color="auto" w:fill="auto"/>
          </w:tcPr>
          <w:p w14:paraId="30B24AAF" w14:textId="77777777" w:rsidR="0064523E" w:rsidRPr="004F4B4E" w:rsidRDefault="0064523E" w:rsidP="004F4B4E">
            <w:pPr>
              <w:spacing w:before="120" w:line="256" w:lineRule="auto"/>
              <w:jc w:val="center"/>
              <w:rPr>
                <w:rFonts w:eastAsia="Malgun Gothic"/>
                <w:sz w:val="20"/>
                <w:szCs w:val="20"/>
                <w:lang w:eastAsia="ko-KR"/>
              </w:rPr>
            </w:pPr>
            <w:r w:rsidRPr="004F4B4E">
              <w:rPr>
                <w:rFonts w:eastAsia="Malgun Gothic"/>
                <w:sz w:val="20"/>
                <w:szCs w:val="20"/>
                <w:lang w:eastAsia="ko-KR"/>
              </w:rPr>
              <w:t>DU: Tx</w:t>
            </w:r>
          </w:p>
          <w:p w14:paraId="520CB874" w14:textId="42E7E8E6" w:rsidR="0064523E" w:rsidRPr="004F4B4E" w:rsidRDefault="0064523E" w:rsidP="004F4B4E">
            <w:pPr>
              <w:spacing w:before="120" w:line="256" w:lineRule="auto"/>
              <w:jc w:val="center"/>
              <w:rPr>
                <w:rFonts w:eastAsia="Malgun Gothic"/>
                <w:sz w:val="20"/>
                <w:szCs w:val="20"/>
                <w:lang w:eastAsia="ko-KR"/>
              </w:rPr>
            </w:pPr>
            <w:r w:rsidRPr="004F4B4E">
              <w:rPr>
                <w:rFonts w:eastAsia="Malgun Gothic"/>
                <w:sz w:val="20"/>
                <w:szCs w:val="20"/>
                <w:lang w:eastAsia="ko-KR"/>
              </w:rPr>
              <w:t>MT: NULL</w:t>
            </w:r>
          </w:p>
        </w:tc>
        <w:tc>
          <w:tcPr>
            <w:tcW w:w="2570" w:type="dxa"/>
            <w:tcBorders>
              <w:top w:val="single" w:sz="4" w:space="0" w:color="auto"/>
              <w:left w:val="single" w:sz="4" w:space="0" w:color="auto"/>
              <w:bottom w:val="single" w:sz="4" w:space="0" w:color="auto"/>
              <w:right w:val="single" w:sz="4" w:space="0" w:color="auto"/>
            </w:tcBorders>
            <w:shd w:val="clear" w:color="auto" w:fill="auto"/>
          </w:tcPr>
          <w:p w14:paraId="23AA5AC4" w14:textId="77777777" w:rsidR="0064523E" w:rsidRPr="004F4B4E" w:rsidRDefault="0064523E" w:rsidP="004F4B4E">
            <w:pPr>
              <w:spacing w:before="120" w:line="256" w:lineRule="auto"/>
              <w:jc w:val="center"/>
              <w:rPr>
                <w:rFonts w:eastAsia="Malgun Gothic"/>
                <w:sz w:val="20"/>
                <w:szCs w:val="20"/>
                <w:lang w:eastAsia="ko-KR"/>
              </w:rPr>
            </w:pPr>
            <w:r w:rsidRPr="004F4B4E">
              <w:rPr>
                <w:rFonts w:eastAsia="Malgun Gothic"/>
                <w:sz w:val="20"/>
                <w:szCs w:val="20"/>
                <w:lang w:eastAsia="ko-KR"/>
              </w:rPr>
              <w:t>DU: Tx</w:t>
            </w:r>
          </w:p>
          <w:p w14:paraId="0CF4B121" w14:textId="5968C5CD" w:rsidR="0064523E" w:rsidRPr="004F4B4E" w:rsidRDefault="0064523E" w:rsidP="004F4B4E">
            <w:pPr>
              <w:spacing w:before="120" w:line="256" w:lineRule="auto"/>
              <w:jc w:val="center"/>
              <w:rPr>
                <w:rFonts w:eastAsia="Malgun Gothic"/>
                <w:sz w:val="20"/>
                <w:szCs w:val="20"/>
                <w:lang w:eastAsia="ko-KR"/>
              </w:rPr>
            </w:pPr>
            <w:r w:rsidRPr="004F4B4E">
              <w:rPr>
                <w:rFonts w:eastAsia="Malgun Gothic"/>
                <w:sz w:val="20"/>
                <w:szCs w:val="20"/>
                <w:lang w:eastAsia="ko-KR"/>
              </w:rPr>
              <w:t>MT: Tx</w:t>
            </w:r>
          </w:p>
        </w:tc>
        <w:tc>
          <w:tcPr>
            <w:tcW w:w="2420" w:type="dxa"/>
            <w:tcBorders>
              <w:top w:val="single" w:sz="4" w:space="0" w:color="auto"/>
              <w:left w:val="single" w:sz="4" w:space="0" w:color="auto"/>
              <w:bottom w:val="single" w:sz="4" w:space="0" w:color="auto"/>
              <w:right w:val="single" w:sz="4" w:space="0" w:color="auto"/>
            </w:tcBorders>
          </w:tcPr>
          <w:p w14:paraId="63C3B60A" w14:textId="77777777" w:rsidR="0064523E" w:rsidRPr="004F4B4E" w:rsidRDefault="0064523E" w:rsidP="004F4B4E">
            <w:pPr>
              <w:spacing w:before="120" w:line="256" w:lineRule="auto"/>
              <w:jc w:val="center"/>
              <w:rPr>
                <w:rFonts w:eastAsia="Malgun Gothic"/>
                <w:sz w:val="20"/>
                <w:szCs w:val="20"/>
                <w:lang w:eastAsia="ko-KR"/>
              </w:rPr>
            </w:pPr>
            <w:r w:rsidRPr="004F4B4E">
              <w:rPr>
                <w:rFonts w:eastAsia="Malgun Gothic"/>
                <w:sz w:val="20"/>
                <w:szCs w:val="20"/>
                <w:lang w:eastAsia="ko-KR"/>
              </w:rPr>
              <w:t>DU: Tx</w:t>
            </w:r>
          </w:p>
          <w:p w14:paraId="7394B116" w14:textId="662B815C" w:rsidR="0064523E" w:rsidRPr="004F4B4E" w:rsidRDefault="0064523E" w:rsidP="004F4B4E">
            <w:pPr>
              <w:spacing w:before="120" w:line="256" w:lineRule="auto"/>
              <w:jc w:val="center"/>
              <w:rPr>
                <w:rFonts w:eastAsia="Malgun Gothic"/>
                <w:sz w:val="20"/>
                <w:szCs w:val="20"/>
                <w:lang w:eastAsia="ko-KR"/>
              </w:rPr>
            </w:pPr>
            <w:r w:rsidRPr="004F4B4E">
              <w:rPr>
                <w:rFonts w:eastAsia="Malgun Gothic"/>
                <w:sz w:val="20"/>
                <w:szCs w:val="20"/>
                <w:lang w:eastAsia="ko-KR"/>
              </w:rPr>
              <w:t xml:space="preserve">MT: </w:t>
            </w:r>
            <w:r w:rsidRPr="004F4B4E">
              <w:rPr>
                <w:rFonts w:eastAsia="Malgun Gothic"/>
                <w:color w:val="FF0000"/>
                <w:sz w:val="20"/>
                <w:szCs w:val="20"/>
                <w:lang w:eastAsia="ko-KR"/>
              </w:rPr>
              <w:t>Tx</w:t>
            </w:r>
          </w:p>
        </w:tc>
      </w:tr>
      <w:tr w:rsidR="0064523E" w:rsidRPr="009B128A" w14:paraId="5D3C6CF7" w14:textId="77777777" w:rsidTr="00076250">
        <w:tc>
          <w:tcPr>
            <w:tcW w:w="1670" w:type="dxa"/>
            <w:tcBorders>
              <w:top w:val="single" w:sz="4" w:space="0" w:color="auto"/>
              <w:left w:val="single" w:sz="4" w:space="0" w:color="auto"/>
              <w:bottom w:val="single" w:sz="4" w:space="0" w:color="auto"/>
              <w:right w:val="single" w:sz="4" w:space="0" w:color="auto"/>
            </w:tcBorders>
            <w:shd w:val="clear" w:color="auto" w:fill="auto"/>
            <w:hideMark/>
          </w:tcPr>
          <w:p w14:paraId="6E3001E1" w14:textId="62DFC4F9" w:rsidR="0064523E" w:rsidRPr="007F1DB8" w:rsidRDefault="0064523E" w:rsidP="0064523E">
            <w:pPr>
              <w:rPr>
                <w:rFonts w:eastAsia="Malgun Gothic"/>
                <w:sz w:val="20"/>
                <w:szCs w:val="20"/>
                <w:lang w:eastAsia="ko-KR"/>
              </w:rPr>
            </w:pPr>
            <w:r w:rsidRPr="004F4B4E">
              <w:rPr>
                <w:rFonts w:eastAsia="Malgun Gothic"/>
                <w:sz w:val="20"/>
                <w:szCs w:val="20"/>
                <w:lang w:eastAsia="ko-KR"/>
              </w:rPr>
              <w:t>UL-H</w:t>
            </w:r>
          </w:p>
        </w:tc>
        <w:tc>
          <w:tcPr>
            <w:tcW w:w="2359" w:type="dxa"/>
            <w:tcBorders>
              <w:top w:val="single" w:sz="4" w:space="0" w:color="auto"/>
              <w:left w:val="single" w:sz="4" w:space="0" w:color="auto"/>
              <w:bottom w:val="single" w:sz="4" w:space="0" w:color="auto"/>
              <w:right w:val="single" w:sz="4" w:space="0" w:color="auto"/>
            </w:tcBorders>
            <w:shd w:val="clear" w:color="auto" w:fill="auto"/>
          </w:tcPr>
          <w:p w14:paraId="01FAA3E1" w14:textId="77777777" w:rsidR="0064523E" w:rsidRPr="004F4B4E" w:rsidRDefault="0064523E" w:rsidP="004F4B4E">
            <w:pPr>
              <w:spacing w:before="120" w:line="256" w:lineRule="auto"/>
              <w:jc w:val="center"/>
              <w:rPr>
                <w:rFonts w:eastAsia="Malgun Gothic"/>
                <w:sz w:val="20"/>
                <w:szCs w:val="20"/>
                <w:lang w:eastAsia="ko-KR"/>
              </w:rPr>
            </w:pPr>
            <w:r w:rsidRPr="004F4B4E">
              <w:rPr>
                <w:rFonts w:eastAsia="Malgun Gothic"/>
                <w:sz w:val="20"/>
                <w:szCs w:val="20"/>
                <w:lang w:eastAsia="ko-KR"/>
              </w:rPr>
              <w:t>DU: Rx</w:t>
            </w:r>
          </w:p>
          <w:p w14:paraId="19578633" w14:textId="076D90C2" w:rsidR="0064523E" w:rsidRPr="004F4B4E" w:rsidRDefault="0064523E" w:rsidP="004F4B4E">
            <w:pPr>
              <w:spacing w:before="120" w:line="256" w:lineRule="auto"/>
              <w:jc w:val="center"/>
              <w:rPr>
                <w:rFonts w:eastAsia="Malgun Gothic"/>
                <w:sz w:val="20"/>
                <w:szCs w:val="20"/>
                <w:lang w:eastAsia="ko-KR"/>
              </w:rPr>
            </w:pPr>
            <w:r w:rsidRPr="004F4B4E">
              <w:rPr>
                <w:rFonts w:eastAsia="Malgun Gothic"/>
                <w:sz w:val="20"/>
                <w:szCs w:val="20"/>
                <w:lang w:eastAsia="ko-KR"/>
              </w:rPr>
              <w:t>MT: Rx</w:t>
            </w:r>
          </w:p>
        </w:tc>
        <w:tc>
          <w:tcPr>
            <w:tcW w:w="2570" w:type="dxa"/>
            <w:tcBorders>
              <w:top w:val="single" w:sz="4" w:space="0" w:color="auto"/>
              <w:left w:val="single" w:sz="4" w:space="0" w:color="auto"/>
              <w:bottom w:val="single" w:sz="4" w:space="0" w:color="auto"/>
              <w:right w:val="single" w:sz="4" w:space="0" w:color="auto"/>
            </w:tcBorders>
            <w:shd w:val="clear" w:color="auto" w:fill="auto"/>
          </w:tcPr>
          <w:p w14:paraId="579E3B87" w14:textId="77777777" w:rsidR="0064523E" w:rsidRPr="004F4B4E" w:rsidRDefault="0064523E" w:rsidP="004F4B4E">
            <w:pPr>
              <w:spacing w:before="120" w:line="256" w:lineRule="auto"/>
              <w:jc w:val="center"/>
              <w:rPr>
                <w:rFonts w:eastAsia="Malgun Gothic"/>
                <w:sz w:val="20"/>
                <w:szCs w:val="20"/>
                <w:lang w:eastAsia="ko-KR"/>
              </w:rPr>
            </w:pPr>
            <w:r w:rsidRPr="004F4B4E">
              <w:rPr>
                <w:rFonts w:eastAsia="Malgun Gothic"/>
                <w:sz w:val="20"/>
                <w:szCs w:val="20"/>
                <w:lang w:eastAsia="ko-KR"/>
              </w:rPr>
              <w:t>DU: Rx</w:t>
            </w:r>
          </w:p>
          <w:p w14:paraId="776BA066" w14:textId="6C5E7BC0" w:rsidR="0064523E" w:rsidRPr="004F4B4E" w:rsidRDefault="0064523E" w:rsidP="004F4B4E">
            <w:pPr>
              <w:spacing w:before="120" w:line="256" w:lineRule="auto"/>
              <w:jc w:val="center"/>
              <w:rPr>
                <w:rFonts w:eastAsia="Malgun Gothic"/>
                <w:sz w:val="20"/>
                <w:szCs w:val="20"/>
                <w:lang w:eastAsia="ko-KR"/>
              </w:rPr>
            </w:pPr>
            <w:r w:rsidRPr="004F4B4E">
              <w:rPr>
                <w:rFonts w:eastAsia="Malgun Gothic"/>
                <w:sz w:val="20"/>
                <w:szCs w:val="20"/>
                <w:lang w:eastAsia="ko-KR"/>
              </w:rPr>
              <w:t>MT: NULL</w:t>
            </w:r>
          </w:p>
        </w:tc>
        <w:tc>
          <w:tcPr>
            <w:tcW w:w="2420" w:type="dxa"/>
            <w:tcBorders>
              <w:top w:val="single" w:sz="4" w:space="0" w:color="auto"/>
              <w:left w:val="single" w:sz="4" w:space="0" w:color="auto"/>
              <w:bottom w:val="single" w:sz="4" w:space="0" w:color="auto"/>
              <w:right w:val="single" w:sz="4" w:space="0" w:color="auto"/>
            </w:tcBorders>
          </w:tcPr>
          <w:p w14:paraId="462F821E" w14:textId="77777777" w:rsidR="0064523E" w:rsidRPr="004F4B4E" w:rsidRDefault="0064523E" w:rsidP="004F4B4E">
            <w:pPr>
              <w:spacing w:before="120" w:line="256" w:lineRule="auto"/>
              <w:jc w:val="center"/>
              <w:rPr>
                <w:rFonts w:eastAsia="Malgun Gothic"/>
                <w:sz w:val="20"/>
                <w:szCs w:val="20"/>
                <w:lang w:eastAsia="ko-KR"/>
              </w:rPr>
            </w:pPr>
            <w:r w:rsidRPr="004F4B4E">
              <w:rPr>
                <w:rFonts w:eastAsia="Malgun Gothic"/>
                <w:sz w:val="20"/>
                <w:szCs w:val="20"/>
                <w:lang w:eastAsia="ko-KR"/>
              </w:rPr>
              <w:t>DU: Rx</w:t>
            </w:r>
          </w:p>
          <w:p w14:paraId="3E444CA0" w14:textId="279F9609" w:rsidR="0064523E" w:rsidRPr="004F4B4E" w:rsidRDefault="0064523E" w:rsidP="004F4B4E">
            <w:pPr>
              <w:spacing w:before="120" w:line="256" w:lineRule="auto"/>
              <w:jc w:val="center"/>
              <w:rPr>
                <w:rFonts w:eastAsia="Malgun Gothic"/>
                <w:sz w:val="20"/>
                <w:szCs w:val="20"/>
                <w:lang w:eastAsia="ko-KR"/>
              </w:rPr>
            </w:pPr>
            <w:r w:rsidRPr="004F4B4E">
              <w:rPr>
                <w:rFonts w:eastAsia="Malgun Gothic"/>
                <w:sz w:val="20"/>
                <w:szCs w:val="20"/>
                <w:lang w:eastAsia="ko-KR"/>
              </w:rPr>
              <w:t xml:space="preserve">MT: </w:t>
            </w:r>
            <w:r w:rsidRPr="004F4B4E">
              <w:rPr>
                <w:rFonts w:eastAsia="Malgun Gothic"/>
                <w:color w:val="FF0000"/>
                <w:sz w:val="20"/>
                <w:szCs w:val="20"/>
                <w:lang w:eastAsia="ko-KR"/>
              </w:rPr>
              <w:t>Rx</w:t>
            </w:r>
          </w:p>
        </w:tc>
      </w:tr>
      <w:tr w:rsidR="0064523E" w:rsidRPr="009B128A" w14:paraId="5F4CB17F" w14:textId="77777777" w:rsidTr="00076250">
        <w:tc>
          <w:tcPr>
            <w:tcW w:w="1670" w:type="dxa"/>
            <w:tcBorders>
              <w:top w:val="single" w:sz="4" w:space="0" w:color="auto"/>
              <w:left w:val="single" w:sz="4" w:space="0" w:color="auto"/>
              <w:bottom w:val="single" w:sz="4" w:space="0" w:color="auto"/>
              <w:right w:val="single" w:sz="4" w:space="0" w:color="auto"/>
            </w:tcBorders>
            <w:shd w:val="clear" w:color="auto" w:fill="auto"/>
            <w:hideMark/>
          </w:tcPr>
          <w:p w14:paraId="722D2D93" w14:textId="548092B6" w:rsidR="0064523E" w:rsidRPr="007F1DB8" w:rsidRDefault="0064523E" w:rsidP="0064523E">
            <w:pPr>
              <w:rPr>
                <w:rFonts w:eastAsia="Malgun Gothic"/>
                <w:sz w:val="20"/>
                <w:szCs w:val="20"/>
                <w:lang w:eastAsia="ko-KR"/>
              </w:rPr>
            </w:pPr>
            <w:r w:rsidRPr="004F4B4E">
              <w:rPr>
                <w:rFonts w:eastAsia="Malgun Gothic"/>
                <w:sz w:val="20"/>
                <w:szCs w:val="20"/>
                <w:lang w:eastAsia="ko-KR"/>
              </w:rPr>
              <w:t>F-H</w:t>
            </w:r>
          </w:p>
        </w:tc>
        <w:tc>
          <w:tcPr>
            <w:tcW w:w="2359" w:type="dxa"/>
            <w:tcBorders>
              <w:top w:val="single" w:sz="4" w:space="0" w:color="auto"/>
              <w:left w:val="single" w:sz="4" w:space="0" w:color="auto"/>
              <w:bottom w:val="single" w:sz="4" w:space="0" w:color="auto"/>
              <w:right w:val="single" w:sz="4" w:space="0" w:color="auto"/>
            </w:tcBorders>
            <w:shd w:val="clear" w:color="auto" w:fill="auto"/>
          </w:tcPr>
          <w:p w14:paraId="1F57F679" w14:textId="77777777" w:rsidR="0064523E" w:rsidRPr="004F4B4E" w:rsidRDefault="0064523E" w:rsidP="004F4B4E">
            <w:pPr>
              <w:spacing w:before="120" w:line="256" w:lineRule="auto"/>
              <w:rPr>
                <w:rFonts w:eastAsia="Malgun Gothic"/>
                <w:sz w:val="20"/>
                <w:szCs w:val="20"/>
                <w:lang w:eastAsia="ko-KR"/>
              </w:rPr>
            </w:pPr>
            <w:r w:rsidRPr="004F4B4E">
              <w:rPr>
                <w:rFonts w:eastAsia="Malgun Gothic"/>
                <w:sz w:val="20"/>
                <w:szCs w:val="20"/>
                <w:lang w:eastAsia="ko-KR"/>
              </w:rPr>
              <w:t>DU: Tx/Rx</w:t>
            </w:r>
          </w:p>
          <w:p w14:paraId="387CDB64" w14:textId="0C973EAD" w:rsidR="0064523E" w:rsidRPr="004F4B4E" w:rsidRDefault="0064523E" w:rsidP="004F4B4E">
            <w:pPr>
              <w:spacing w:before="120" w:line="256" w:lineRule="auto"/>
              <w:rPr>
                <w:rFonts w:eastAsia="Malgun Gothic"/>
                <w:sz w:val="20"/>
                <w:szCs w:val="20"/>
                <w:lang w:eastAsia="ko-KR"/>
              </w:rPr>
            </w:pPr>
            <w:r w:rsidRPr="004F4B4E">
              <w:rPr>
                <w:rFonts w:eastAsia="Malgun Gothic"/>
                <w:sz w:val="20"/>
                <w:szCs w:val="20"/>
                <w:lang w:eastAsia="ko-KR"/>
              </w:rPr>
              <w:t>MT: Rx (only if DU is Rx and the parent DU is aware in advance)</w:t>
            </w:r>
          </w:p>
        </w:tc>
        <w:tc>
          <w:tcPr>
            <w:tcW w:w="2570" w:type="dxa"/>
            <w:tcBorders>
              <w:top w:val="single" w:sz="4" w:space="0" w:color="auto"/>
              <w:left w:val="single" w:sz="4" w:space="0" w:color="auto"/>
              <w:bottom w:val="single" w:sz="4" w:space="0" w:color="auto"/>
              <w:right w:val="single" w:sz="4" w:space="0" w:color="auto"/>
            </w:tcBorders>
            <w:shd w:val="clear" w:color="auto" w:fill="auto"/>
          </w:tcPr>
          <w:p w14:paraId="3C83F32F" w14:textId="77777777" w:rsidR="0064523E" w:rsidRPr="004F4B4E" w:rsidRDefault="0064523E" w:rsidP="004F4B4E">
            <w:pPr>
              <w:spacing w:before="120" w:line="256" w:lineRule="auto"/>
              <w:rPr>
                <w:rFonts w:eastAsia="Malgun Gothic"/>
                <w:sz w:val="20"/>
                <w:szCs w:val="20"/>
                <w:lang w:eastAsia="ko-KR"/>
              </w:rPr>
            </w:pPr>
            <w:r w:rsidRPr="004F4B4E">
              <w:rPr>
                <w:rFonts w:eastAsia="Malgun Gothic"/>
                <w:sz w:val="20"/>
                <w:szCs w:val="20"/>
                <w:lang w:eastAsia="ko-KR"/>
              </w:rPr>
              <w:t>DU: Tx/Rx</w:t>
            </w:r>
          </w:p>
          <w:p w14:paraId="7FB6F64D" w14:textId="2D1526AC" w:rsidR="0064523E" w:rsidRPr="004F4B4E" w:rsidRDefault="0064523E" w:rsidP="004F4B4E">
            <w:pPr>
              <w:spacing w:before="120" w:line="256" w:lineRule="auto"/>
              <w:rPr>
                <w:rFonts w:eastAsia="Malgun Gothic"/>
                <w:sz w:val="20"/>
                <w:szCs w:val="20"/>
                <w:lang w:eastAsia="ko-KR"/>
              </w:rPr>
            </w:pPr>
            <w:r w:rsidRPr="004F4B4E">
              <w:rPr>
                <w:rFonts w:eastAsia="Malgun Gothic"/>
                <w:sz w:val="20"/>
                <w:szCs w:val="20"/>
                <w:lang w:eastAsia="ko-KR"/>
              </w:rPr>
              <w:t>MT: Tx (only if DU is Tx and the parent is aware in advance)</w:t>
            </w:r>
          </w:p>
        </w:tc>
        <w:tc>
          <w:tcPr>
            <w:tcW w:w="2420" w:type="dxa"/>
            <w:tcBorders>
              <w:top w:val="single" w:sz="4" w:space="0" w:color="auto"/>
              <w:left w:val="single" w:sz="4" w:space="0" w:color="auto"/>
              <w:bottom w:val="single" w:sz="4" w:space="0" w:color="auto"/>
              <w:right w:val="single" w:sz="4" w:space="0" w:color="auto"/>
            </w:tcBorders>
          </w:tcPr>
          <w:p w14:paraId="6CFB423F" w14:textId="77777777" w:rsidR="0064523E" w:rsidRPr="004F4B4E" w:rsidRDefault="0064523E" w:rsidP="004F4B4E">
            <w:pPr>
              <w:spacing w:before="120" w:line="256" w:lineRule="auto"/>
              <w:rPr>
                <w:rFonts w:eastAsia="Malgun Gothic"/>
                <w:sz w:val="20"/>
                <w:szCs w:val="20"/>
                <w:lang w:eastAsia="ko-KR"/>
              </w:rPr>
            </w:pPr>
            <w:r w:rsidRPr="004F4B4E">
              <w:rPr>
                <w:rFonts w:eastAsia="Malgun Gothic"/>
                <w:sz w:val="20"/>
                <w:szCs w:val="20"/>
                <w:lang w:eastAsia="ko-KR"/>
              </w:rPr>
              <w:t>DU: Tx/Rx</w:t>
            </w:r>
          </w:p>
          <w:p w14:paraId="7D206842" w14:textId="7E2959ED" w:rsidR="0064523E" w:rsidRPr="004F4B4E" w:rsidRDefault="0064523E" w:rsidP="004F4B4E">
            <w:pPr>
              <w:spacing w:before="120" w:line="256" w:lineRule="auto"/>
              <w:rPr>
                <w:rFonts w:eastAsia="Malgun Gothic"/>
                <w:sz w:val="20"/>
                <w:szCs w:val="20"/>
                <w:lang w:eastAsia="ko-KR"/>
              </w:rPr>
            </w:pPr>
            <w:r w:rsidRPr="004F4B4E">
              <w:rPr>
                <w:rFonts w:eastAsia="Malgun Gothic"/>
                <w:sz w:val="20"/>
                <w:szCs w:val="20"/>
                <w:lang w:eastAsia="ko-KR"/>
              </w:rPr>
              <w:t xml:space="preserve">MT: </w:t>
            </w:r>
            <w:r w:rsidRPr="004F4B4E">
              <w:rPr>
                <w:rFonts w:eastAsia="Malgun Gothic"/>
                <w:color w:val="FF0000"/>
                <w:sz w:val="20"/>
                <w:szCs w:val="20"/>
                <w:lang w:eastAsia="ko-KR"/>
              </w:rPr>
              <w:t>Tx (only if DU is Tx and the parent DU knows that ahead of time), Rx (only if DU is Rx and the parent DU is aware in advance)</w:t>
            </w:r>
          </w:p>
        </w:tc>
      </w:tr>
    </w:tbl>
    <w:p w14:paraId="266AC9E1" w14:textId="77777777" w:rsidR="004F4B4E" w:rsidRDefault="004F4B4E" w:rsidP="004F4B4E">
      <w:pPr>
        <w:pStyle w:val="B1"/>
        <w:rPr>
          <w:lang w:val="en-US"/>
        </w:rPr>
      </w:pPr>
    </w:p>
    <w:p w14:paraId="5FFD0A51" w14:textId="4FD7C9CC" w:rsidR="00D45C9C" w:rsidRDefault="00B5409A" w:rsidP="004F4B4E">
      <w:pPr>
        <w:pStyle w:val="B1"/>
        <w:rPr>
          <w:lang w:val="en-US"/>
        </w:rPr>
      </w:pPr>
      <w:r>
        <w:rPr>
          <w:noProof/>
          <w:lang w:val="en-US" w:eastAsia="zh-CN"/>
        </w:rPr>
        <w:lastRenderedPageBreak/>
        <w:drawing>
          <wp:inline distT="0" distB="0" distL="0" distR="0" wp14:anchorId="24656543" wp14:editId="60EA801F">
            <wp:extent cx="5367600" cy="1328400"/>
            <wp:effectExtent l="0" t="0" r="508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67600" cy="1328400"/>
                    </a:xfrm>
                    <a:prstGeom prst="rect">
                      <a:avLst/>
                    </a:prstGeom>
                    <a:noFill/>
                  </pic:spPr>
                </pic:pic>
              </a:graphicData>
            </a:graphic>
          </wp:inline>
        </w:drawing>
      </w:r>
    </w:p>
    <w:p w14:paraId="4B15CE14" w14:textId="1E8FA0B9" w:rsidR="00B5409A" w:rsidRPr="0037513D" w:rsidRDefault="00B5409A" w:rsidP="00B5409A">
      <w:pPr>
        <w:pStyle w:val="a5"/>
        <w:jc w:val="center"/>
      </w:pPr>
      <w:r>
        <w:t xml:space="preserve">Figure </w:t>
      </w:r>
      <w:r w:rsidR="00D26A2E">
        <w:fldChar w:fldCharType="begin"/>
      </w:r>
      <w:r w:rsidR="00D26A2E">
        <w:instrText xml:space="preserve"> SEQ Figure \* ARABIC </w:instrText>
      </w:r>
      <w:r w:rsidR="00D26A2E">
        <w:fldChar w:fldCharType="separate"/>
      </w:r>
      <w:r>
        <w:rPr>
          <w:noProof/>
        </w:rPr>
        <w:t>2</w:t>
      </w:r>
      <w:r w:rsidR="00D26A2E">
        <w:rPr>
          <w:noProof/>
        </w:rPr>
        <w:fldChar w:fldCharType="end"/>
      </w:r>
      <w:r>
        <w:t xml:space="preserve"> scheduling restriction for each </w:t>
      </w:r>
      <w:r w:rsidRPr="00F62558">
        <w:t>time-resource types</w:t>
      </w:r>
      <w:r>
        <w:t xml:space="preserve"> for SDM/FDM</w:t>
      </w:r>
    </w:p>
    <w:p w14:paraId="7D740C85" w14:textId="69CF795A" w:rsidR="00B5409A" w:rsidRPr="00B5409A" w:rsidRDefault="00B5409A" w:rsidP="004F4B4E">
      <w:pPr>
        <w:pStyle w:val="B1"/>
        <w:rPr>
          <w:lang w:val="en-US"/>
        </w:rPr>
      </w:pPr>
    </w:p>
    <w:p w14:paraId="08E019C3" w14:textId="77777777" w:rsidR="005D5A72" w:rsidRDefault="0064280F" w:rsidP="004F4B4E">
      <w:pPr>
        <w:pStyle w:val="B1"/>
        <w:numPr>
          <w:ilvl w:val="2"/>
          <w:numId w:val="20"/>
        </w:numPr>
        <w:rPr>
          <w:lang w:val="en-US"/>
        </w:rPr>
      </w:pPr>
      <w:r>
        <w:rPr>
          <w:lang w:val="en-US"/>
        </w:rPr>
        <w:t xml:space="preserve">For DU configuration  ‘FH’ and MT configuration ‘F’, whether the parent DU knows the child DU link </w:t>
      </w:r>
      <w:r w:rsidR="005D5A72">
        <w:rPr>
          <w:lang w:val="en-US"/>
        </w:rPr>
        <w:t xml:space="preserve">has </w:t>
      </w:r>
      <w:r>
        <w:rPr>
          <w:lang w:val="en-US"/>
        </w:rPr>
        <w:t xml:space="preserve">Tx/Rx can be signaled from child DU link </w:t>
      </w:r>
      <w:r w:rsidR="005D5A72">
        <w:rPr>
          <w:lang w:val="en-US"/>
        </w:rPr>
        <w:t>via</w:t>
      </w:r>
      <w:r>
        <w:rPr>
          <w:lang w:val="en-US"/>
        </w:rPr>
        <w:t xml:space="preserve"> L1 or MAC signaling</w:t>
      </w:r>
      <w:r w:rsidR="005D5A72">
        <w:rPr>
          <w:lang w:val="en-US"/>
        </w:rPr>
        <w:t xml:space="preserve">. The signaling </w:t>
      </w:r>
      <w:r>
        <w:rPr>
          <w:lang w:val="en-US"/>
        </w:rPr>
        <w:t xml:space="preserve"> helps to improve the backhaul link efficiency.</w:t>
      </w:r>
    </w:p>
    <w:p w14:paraId="4AB713B5" w14:textId="77777777" w:rsidR="005D5A72" w:rsidRDefault="005D5A72" w:rsidP="004F4B4E">
      <w:pPr>
        <w:pStyle w:val="B1"/>
        <w:numPr>
          <w:ilvl w:val="2"/>
          <w:numId w:val="20"/>
        </w:numPr>
        <w:rPr>
          <w:lang w:val="en-US"/>
        </w:rPr>
      </w:pPr>
      <w:r w:rsidRPr="005D5A72">
        <w:rPr>
          <w:lang w:val="en-US"/>
        </w:rPr>
        <w:t>For DU configuration  ‘</w:t>
      </w:r>
      <w:r>
        <w:rPr>
          <w:lang w:val="en-US"/>
        </w:rPr>
        <w:t>D</w:t>
      </w:r>
      <w:r w:rsidRPr="005D5A72">
        <w:rPr>
          <w:lang w:val="en-US"/>
        </w:rPr>
        <w:t>H’ and MT configuration ‘F’,</w:t>
      </w:r>
      <w:r>
        <w:rPr>
          <w:lang w:val="en-US"/>
        </w:rPr>
        <w:t xml:space="preserve"> </w:t>
      </w:r>
    </w:p>
    <w:p w14:paraId="2EC2F274" w14:textId="0FCB7019" w:rsidR="0064523E" w:rsidRDefault="005D5A72" w:rsidP="004F4B4E">
      <w:pPr>
        <w:pStyle w:val="B1"/>
        <w:numPr>
          <w:ilvl w:val="3"/>
          <w:numId w:val="20"/>
        </w:numPr>
        <w:rPr>
          <w:lang w:val="en-US"/>
        </w:rPr>
      </w:pPr>
      <w:r>
        <w:rPr>
          <w:lang w:val="en-US"/>
        </w:rPr>
        <w:t xml:space="preserve">For SDM, the parent DU link does </w:t>
      </w:r>
      <w:r w:rsidRPr="004F4B4E">
        <w:rPr>
          <w:color w:val="FF0000"/>
          <w:lang w:val="en-US"/>
        </w:rPr>
        <w:t xml:space="preserve">NOT </w:t>
      </w:r>
      <w:r>
        <w:rPr>
          <w:lang w:val="en-US"/>
        </w:rPr>
        <w:t>required to be aware of the DU child link scheduling results, and child MT is always capable to Tx based on parent DU link’s scheduling grant.</w:t>
      </w:r>
    </w:p>
    <w:p w14:paraId="1B395A1F" w14:textId="77777777" w:rsidR="005D5A72" w:rsidRDefault="005D5A72" w:rsidP="004F4B4E">
      <w:pPr>
        <w:pStyle w:val="B1"/>
        <w:numPr>
          <w:ilvl w:val="3"/>
          <w:numId w:val="20"/>
        </w:numPr>
        <w:rPr>
          <w:lang w:val="en-US"/>
        </w:rPr>
      </w:pPr>
      <w:r>
        <w:rPr>
          <w:lang w:val="en-US"/>
        </w:rPr>
        <w:t>For FDM, in order to avoid resource collision, the parent DU link does required to be aware of the DU child link scheduling results.</w:t>
      </w:r>
    </w:p>
    <w:p w14:paraId="0463FFCE" w14:textId="2EA698C6" w:rsidR="00D45C9C" w:rsidRDefault="005D5A72" w:rsidP="004F4B4E">
      <w:pPr>
        <w:pStyle w:val="B1"/>
        <w:numPr>
          <w:ilvl w:val="2"/>
          <w:numId w:val="20"/>
        </w:numPr>
        <w:rPr>
          <w:lang w:val="en-US"/>
        </w:rPr>
      </w:pPr>
      <w:r w:rsidRPr="005D5A72">
        <w:rPr>
          <w:lang w:val="en-US"/>
        </w:rPr>
        <w:t>For DU configuration  ‘</w:t>
      </w:r>
      <w:r>
        <w:rPr>
          <w:lang w:val="en-US"/>
        </w:rPr>
        <w:t>U</w:t>
      </w:r>
      <w:r w:rsidRPr="005D5A72">
        <w:rPr>
          <w:lang w:val="en-US"/>
        </w:rPr>
        <w:t>H’ and MT configuration ‘F’</w:t>
      </w:r>
      <w:r>
        <w:rPr>
          <w:lang w:val="en-US"/>
        </w:rPr>
        <w:t xml:space="preserve">, similar to the case </w:t>
      </w:r>
      <w:r w:rsidRPr="00076250">
        <w:rPr>
          <w:lang w:val="en-US"/>
        </w:rPr>
        <w:t>DU configuration  ‘DH’</w:t>
      </w:r>
    </w:p>
    <w:p w14:paraId="0A9CDC45" w14:textId="23E692CB" w:rsidR="005D5A72" w:rsidRDefault="005D5A72" w:rsidP="005D5A72">
      <w:pPr>
        <w:pStyle w:val="B1"/>
        <w:numPr>
          <w:ilvl w:val="3"/>
          <w:numId w:val="20"/>
        </w:numPr>
        <w:rPr>
          <w:lang w:val="en-US"/>
        </w:rPr>
      </w:pPr>
      <w:r>
        <w:rPr>
          <w:lang w:val="en-US"/>
        </w:rPr>
        <w:t xml:space="preserve">For SDM, the parent DU link does </w:t>
      </w:r>
      <w:r w:rsidRPr="00076250">
        <w:rPr>
          <w:color w:val="FF0000"/>
          <w:lang w:val="en-US"/>
        </w:rPr>
        <w:t xml:space="preserve">NOT </w:t>
      </w:r>
      <w:r>
        <w:rPr>
          <w:lang w:val="en-US"/>
        </w:rPr>
        <w:t>required to be aware of the DU child link scheduling results, and child MT is always capable to Rx based on parent DU link’s scheduling grant.</w:t>
      </w:r>
    </w:p>
    <w:p w14:paraId="3EBAF6B1" w14:textId="77777777" w:rsidR="005D5A72" w:rsidRDefault="005D5A72" w:rsidP="005D5A72">
      <w:pPr>
        <w:pStyle w:val="B1"/>
        <w:numPr>
          <w:ilvl w:val="3"/>
          <w:numId w:val="20"/>
        </w:numPr>
        <w:rPr>
          <w:lang w:val="en-US"/>
        </w:rPr>
      </w:pPr>
      <w:r>
        <w:rPr>
          <w:lang w:val="en-US"/>
        </w:rPr>
        <w:t>For FDM, in order to avoid resource collision, the parent DU link does required to be aware of the DU child link scheduling results.</w:t>
      </w:r>
    </w:p>
    <w:p w14:paraId="0B30B35A" w14:textId="7C84D8E3" w:rsidR="00247FA4" w:rsidRPr="004F4B4E" w:rsidRDefault="00247FA4" w:rsidP="004F4B4E">
      <w:pPr>
        <w:pStyle w:val="B1"/>
        <w:ind w:left="0" w:firstLine="0"/>
        <w:rPr>
          <w:b/>
          <w:lang w:val="en-US"/>
        </w:rPr>
      </w:pPr>
      <w:r w:rsidRPr="004F4B4E">
        <w:rPr>
          <w:b/>
          <w:lang w:val="en-US"/>
        </w:rPr>
        <w:t xml:space="preserve">Proposal 2: </w:t>
      </w:r>
      <w:r w:rsidR="00B5409A" w:rsidRPr="009E7E61">
        <w:rPr>
          <w:b/>
          <w:lang w:val="en-US"/>
        </w:rPr>
        <w:t xml:space="preserve">For FDM case </w:t>
      </w:r>
      <w:r w:rsidR="00B5409A" w:rsidRPr="004F4B4E">
        <w:rPr>
          <w:b/>
          <w:lang w:val="en-US"/>
        </w:rPr>
        <w:t>and DU configuration  ‘Hard’ and MT configuration ‘F’, the parent DU is aware of whether the child DU link’s has Tx/Rx. And the signaling can be from child DU link via L1 or MAC signaling.</w:t>
      </w:r>
    </w:p>
    <w:p w14:paraId="50EC460E" w14:textId="7C6524DE" w:rsidR="00B5409A" w:rsidRPr="004F4B4E" w:rsidRDefault="00B5409A" w:rsidP="00B5409A">
      <w:pPr>
        <w:pStyle w:val="B1"/>
        <w:ind w:left="0" w:firstLine="0"/>
        <w:rPr>
          <w:b/>
          <w:lang w:val="en-US"/>
        </w:rPr>
      </w:pPr>
      <w:r w:rsidRPr="009E7E61">
        <w:rPr>
          <w:b/>
          <w:lang w:val="en-US"/>
        </w:rPr>
        <w:t xml:space="preserve">Proposal 3: For </w:t>
      </w:r>
      <w:r w:rsidRPr="004F4B4E">
        <w:rPr>
          <w:b/>
          <w:lang w:val="en-US"/>
        </w:rPr>
        <w:t>SDM case and DU configuration  ‘Flexible Hard’ and MT configuration ‘F’, the parent DU is aware of whether the child DU link’s has Tx/Rx. And the signaling can be from child DU link via L1 or MAC signaling.</w:t>
      </w:r>
    </w:p>
    <w:p w14:paraId="100A1DE6" w14:textId="315EE0E0" w:rsidR="00511D42" w:rsidRPr="00511D42" w:rsidRDefault="00511D42" w:rsidP="00511D42">
      <w:pPr>
        <w:pStyle w:val="B1"/>
        <w:ind w:left="0" w:firstLine="0"/>
        <w:rPr>
          <w:rFonts w:eastAsiaTheme="minorEastAsia"/>
          <w:b/>
          <w:u w:val="single"/>
          <w:lang w:val="en-US" w:eastAsia="zh-CN"/>
        </w:rPr>
      </w:pPr>
      <w:r>
        <w:rPr>
          <w:rFonts w:eastAsiaTheme="minorEastAsia"/>
          <w:b/>
          <w:u w:val="single"/>
          <w:lang w:val="en-US" w:eastAsia="zh-CN"/>
        </w:rPr>
        <w:t>Resource coordination between backhaul and access link for “</w:t>
      </w:r>
      <w:r>
        <w:rPr>
          <w:rFonts w:eastAsiaTheme="minorEastAsia" w:hint="eastAsia"/>
          <w:b/>
          <w:u w:val="single"/>
          <w:lang w:val="en-US" w:eastAsia="zh-CN"/>
        </w:rPr>
        <w:t>Soft</w:t>
      </w:r>
      <w:r>
        <w:rPr>
          <w:rFonts w:eastAsiaTheme="minorEastAsia"/>
          <w:b/>
          <w:u w:val="single"/>
          <w:lang w:val="en-US" w:eastAsia="zh-CN"/>
        </w:rPr>
        <w:t>”</w:t>
      </w:r>
    </w:p>
    <w:p w14:paraId="7A299126" w14:textId="287E4DF9" w:rsidR="007C2702" w:rsidRDefault="00873CD6" w:rsidP="00873CD6">
      <w:pPr>
        <w:pStyle w:val="B1"/>
        <w:ind w:left="0" w:firstLine="0"/>
        <w:rPr>
          <w:lang w:val="en-US"/>
        </w:rPr>
      </w:pPr>
      <w:r>
        <w:rPr>
          <w:lang w:val="en-US"/>
        </w:rPr>
        <w:t xml:space="preserve">For resource type “Soft”, </w:t>
      </w:r>
      <w:r w:rsidR="007C2702">
        <w:rPr>
          <w:lang w:val="en-US"/>
        </w:rPr>
        <w:t xml:space="preserve">the DU child link should schedule its UEs based on the outcome of dynamic resource allocation </w:t>
      </w:r>
      <w:r w:rsidR="00AD515E">
        <w:rPr>
          <w:lang w:val="en-US"/>
        </w:rPr>
        <w:t xml:space="preserve">indication </w:t>
      </w:r>
      <w:r w:rsidR="007C2702">
        <w:rPr>
          <w:lang w:val="en-US"/>
        </w:rPr>
        <w:t>for IAB-node backhaul (if any).</w:t>
      </w:r>
      <w:r w:rsidR="00AD515E">
        <w:rPr>
          <w:lang w:val="en-US"/>
        </w:rPr>
        <w:t xml:space="preserve">  The indication can be </w:t>
      </w:r>
    </w:p>
    <w:p w14:paraId="29C2C25A" w14:textId="51137A1A" w:rsidR="00AD515E" w:rsidRDefault="00AD515E" w:rsidP="00AD515E">
      <w:pPr>
        <w:pStyle w:val="B1"/>
        <w:numPr>
          <w:ilvl w:val="0"/>
          <w:numId w:val="21"/>
        </w:numPr>
        <w:rPr>
          <w:lang w:val="en-US"/>
        </w:rPr>
      </w:pPr>
      <w:r>
        <w:rPr>
          <w:lang w:val="en-US"/>
        </w:rPr>
        <w:t>Dynamic SFI of the backhaul</w:t>
      </w:r>
    </w:p>
    <w:p w14:paraId="35A33420" w14:textId="73402669" w:rsidR="00AD515E" w:rsidRDefault="00AD515E" w:rsidP="00AD515E">
      <w:pPr>
        <w:pStyle w:val="B1"/>
        <w:numPr>
          <w:ilvl w:val="0"/>
          <w:numId w:val="21"/>
        </w:numPr>
        <w:rPr>
          <w:lang w:val="en-US"/>
        </w:rPr>
      </w:pPr>
      <w:r>
        <w:rPr>
          <w:lang w:val="en-US"/>
        </w:rPr>
        <w:t>DL/UL grant of the backhaul</w:t>
      </w:r>
    </w:p>
    <w:p w14:paraId="10820D0C" w14:textId="75ACD726" w:rsidR="00AD515E" w:rsidRDefault="00AD515E" w:rsidP="00AD515E">
      <w:pPr>
        <w:pStyle w:val="B1"/>
        <w:numPr>
          <w:ilvl w:val="0"/>
          <w:numId w:val="21"/>
        </w:numPr>
        <w:rPr>
          <w:lang w:val="en-US"/>
        </w:rPr>
      </w:pPr>
      <w:r>
        <w:rPr>
          <w:lang w:val="en-US"/>
        </w:rPr>
        <w:t>New DCI for indicating DU child link scheduling</w:t>
      </w:r>
    </w:p>
    <w:p w14:paraId="7FC67644" w14:textId="77777777" w:rsidR="00E947E4" w:rsidRDefault="00E947E4" w:rsidP="00E947E4">
      <w:pPr>
        <w:pStyle w:val="1"/>
        <w:numPr>
          <w:ilvl w:val="1"/>
          <w:numId w:val="5"/>
        </w:numPr>
        <w:rPr>
          <w:rFonts w:eastAsiaTheme="minorEastAsia"/>
          <w:b w:val="0"/>
          <w:lang w:eastAsia="zh-CN"/>
        </w:rPr>
      </w:pPr>
      <w:r>
        <w:rPr>
          <w:rFonts w:eastAsiaTheme="minorEastAsia" w:hint="eastAsia"/>
          <w:b w:val="0"/>
          <w:lang w:eastAsia="zh-CN"/>
        </w:rPr>
        <w:t xml:space="preserve">IAB-node </w:t>
      </w:r>
      <w:r>
        <w:rPr>
          <w:rFonts w:eastAsiaTheme="minorEastAsia"/>
          <w:b w:val="0"/>
          <w:lang w:eastAsia="zh-CN"/>
        </w:rPr>
        <w:t xml:space="preserve">scheduling and </w:t>
      </w:r>
      <w:r>
        <w:rPr>
          <w:rFonts w:eastAsiaTheme="minorEastAsia" w:hint="eastAsia"/>
          <w:b w:val="0"/>
          <w:lang w:eastAsia="zh-CN"/>
        </w:rPr>
        <w:t xml:space="preserve">processing </w:t>
      </w:r>
      <w:r>
        <w:rPr>
          <w:rFonts w:eastAsiaTheme="minorEastAsia"/>
          <w:b w:val="0"/>
          <w:lang w:eastAsia="zh-CN"/>
        </w:rPr>
        <w:t>delay</w:t>
      </w:r>
    </w:p>
    <w:p w14:paraId="6E51667D" w14:textId="151704B0" w:rsidR="00E947E4" w:rsidRDefault="00E947E4" w:rsidP="00E947E4">
      <w:pPr>
        <w:pStyle w:val="a0"/>
        <w:rPr>
          <w:rFonts w:eastAsiaTheme="minorEastAsia"/>
          <w:lang w:val="x-none" w:eastAsia="zh-CN"/>
        </w:rPr>
      </w:pPr>
      <w:r>
        <w:rPr>
          <w:rFonts w:eastAsiaTheme="minorEastAsia"/>
          <w:lang w:val="x-none" w:eastAsia="zh-CN"/>
        </w:rPr>
        <w:t>C</w:t>
      </w:r>
      <w:r>
        <w:rPr>
          <w:rFonts w:eastAsiaTheme="minorEastAsia" w:hint="eastAsia"/>
          <w:lang w:val="x-none" w:eastAsia="zh-CN"/>
        </w:rPr>
        <w:t xml:space="preserve">onsidering </w:t>
      </w:r>
      <w:r>
        <w:rPr>
          <w:rFonts w:eastAsiaTheme="minorEastAsia"/>
          <w:lang w:val="x-none" w:eastAsia="zh-CN"/>
        </w:rPr>
        <w:t xml:space="preserve">the dynamic indication of the bakchaul and access resource, the IAB-node may requires </w:t>
      </w:r>
      <w:r w:rsidRPr="00E25186">
        <w:rPr>
          <w:rFonts w:eastAsiaTheme="minorEastAsia"/>
          <w:lang w:val="x-none"/>
        </w:rPr>
        <w:t xml:space="preserve">additional processing </w:t>
      </w:r>
      <w:r>
        <w:rPr>
          <w:rFonts w:eastAsiaTheme="minorEastAsia"/>
          <w:lang w:val="x-none" w:eastAsia="zh-CN"/>
        </w:rPr>
        <w:t>and preparing in order to use the dynamically indicated flexible resources. This need to be considered especially for “</w:t>
      </w:r>
      <w:r w:rsidRPr="00E42B04">
        <w:rPr>
          <w:rFonts w:eastAsiaTheme="minorEastAsia"/>
          <w:i/>
          <w:lang w:val="x-none" w:eastAsia="zh-CN"/>
        </w:rPr>
        <w:t>soft</w:t>
      </w:r>
      <w:r>
        <w:rPr>
          <w:rFonts w:eastAsiaTheme="minorEastAsia"/>
          <w:lang w:val="x-none" w:eastAsia="zh-CN"/>
        </w:rPr>
        <w:t>” time-resource type for IAB DU child link.</w:t>
      </w:r>
      <w:r w:rsidR="00120395">
        <w:rPr>
          <w:rFonts w:eastAsiaTheme="minorEastAsia"/>
          <w:lang w:val="x-none" w:eastAsia="zh-CN"/>
        </w:rPr>
        <w:t xml:space="preserve"> Since the IAB node need processing time to know the backhaul resource allocation before making scheduling decision for the DU child link.</w:t>
      </w:r>
    </w:p>
    <w:p w14:paraId="34E7C42E" w14:textId="77777777" w:rsidR="0083746C" w:rsidRDefault="0083746C" w:rsidP="00E947E4">
      <w:pPr>
        <w:pStyle w:val="a0"/>
        <w:rPr>
          <w:rFonts w:eastAsiaTheme="minorEastAsia"/>
          <w:lang w:val="x-none" w:eastAsia="zh-CN"/>
        </w:rPr>
      </w:pPr>
      <w:r>
        <w:rPr>
          <w:rFonts w:eastAsiaTheme="minorEastAsia"/>
          <w:lang w:val="x-none" w:eastAsia="zh-CN"/>
        </w:rPr>
        <w:t>This is also considered during the study item,</w:t>
      </w:r>
    </w:p>
    <w:tbl>
      <w:tblPr>
        <w:tblStyle w:val="a8"/>
        <w:tblW w:w="0" w:type="auto"/>
        <w:tblLook w:val="04A0" w:firstRow="1" w:lastRow="0" w:firstColumn="1" w:lastColumn="0" w:noHBand="0" w:noVBand="1"/>
      </w:tblPr>
      <w:tblGrid>
        <w:gridCol w:w="9019"/>
      </w:tblGrid>
      <w:tr w:rsidR="0083746C" w14:paraId="1844CC16" w14:textId="77777777" w:rsidTr="0083746C">
        <w:tc>
          <w:tcPr>
            <w:tcW w:w="9019" w:type="dxa"/>
          </w:tcPr>
          <w:p w14:paraId="233D292A" w14:textId="64E844E4" w:rsidR="0083746C" w:rsidRPr="0083746C" w:rsidRDefault="0083746C" w:rsidP="0083746C">
            <w:pPr>
              <w:pStyle w:val="B1"/>
              <w:rPr>
                <w:rFonts w:eastAsiaTheme="minorEastAsia"/>
                <w:b/>
                <w:u w:val="single"/>
                <w:lang w:val="en-US" w:eastAsia="zh-CN"/>
              </w:rPr>
            </w:pPr>
            <w:r w:rsidRPr="0083746C">
              <w:rPr>
                <w:rFonts w:eastAsiaTheme="minorEastAsia"/>
                <w:b/>
                <w:u w:val="single"/>
                <w:lang w:val="en-US" w:eastAsia="zh-CN"/>
              </w:rPr>
              <w:lastRenderedPageBreak/>
              <w:t>TR 38.874 S</w:t>
            </w:r>
            <w:r w:rsidRPr="0083746C">
              <w:rPr>
                <w:rFonts w:eastAsiaTheme="minorEastAsia" w:hint="eastAsia"/>
                <w:b/>
                <w:u w:val="single"/>
                <w:lang w:val="en-US" w:eastAsia="zh-CN"/>
              </w:rPr>
              <w:t xml:space="preserve">ection </w:t>
            </w:r>
            <w:r w:rsidRPr="0083746C">
              <w:rPr>
                <w:rFonts w:eastAsiaTheme="minorEastAsia"/>
                <w:b/>
                <w:u w:val="single"/>
                <w:lang w:val="en-US" w:eastAsia="zh-CN"/>
              </w:rPr>
              <w:t>7.3.3</w:t>
            </w:r>
          </w:p>
          <w:p w14:paraId="3DA7BF1D" w14:textId="674D6060" w:rsidR="0083746C" w:rsidRPr="0083746C" w:rsidRDefault="0083746C" w:rsidP="0083746C">
            <w:pPr>
              <w:pStyle w:val="B1"/>
              <w:rPr>
                <w:rFonts w:eastAsiaTheme="minorEastAsia"/>
                <w:lang w:val="en-US" w:eastAsia="zh-CN"/>
              </w:rPr>
            </w:pPr>
            <w:r>
              <w:rPr>
                <w:rFonts w:eastAsiaTheme="minorEastAsia"/>
                <w:lang w:val="en-US" w:eastAsia="zh-CN"/>
              </w:rPr>
              <w:t>…</w:t>
            </w:r>
          </w:p>
          <w:p w14:paraId="225633D2" w14:textId="77777777" w:rsidR="0083746C" w:rsidRPr="00F207B8" w:rsidRDefault="0083746C" w:rsidP="0083746C">
            <w:pPr>
              <w:pStyle w:val="B1"/>
              <w:rPr>
                <w:lang w:val="en-US"/>
              </w:rPr>
            </w:pPr>
            <w:r w:rsidRPr="00F207B8">
              <w:rPr>
                <w:lang w:val="en-US"/>
              </w:rPr>
              <w:t>Resource (frequency, time in terms of slot/slot format, etc.) coordination which is faster than semi-static coordination and the indication of resources within the configuration which can be dynamically and flexibly used for different links, including</w:t>
            </w:r>
          </w:p>
          <w:p w14:paraId="600ED23C" w14:textId="77777777" w:rsidR="0083746C" w:rsidRPr="00F207B8" w:rsidRDefault="0083746C" w:rsidP="0083746C">
            <w:pPr>
              <w:pStyle w:val="B2"/>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The need to consider the scheduling delay, IAB node processing delays, or information required to be available for the use of flexible resources</w:t>
            </w:r>
          </w:p>
          <w:p w14:paraId="4242D07B" w14:textId="3B1B56D8" w:rsidR="0083746C" w:rsidRPr="0083746C" w:rsidRDefault="0083746C" w:rsidP="0083746C">
            <w:pPr>
              <w:pStyle w:val="B2"/>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Mechanisms to schedule flexible resources (e.g. GC-PDCCH)</w:t>
            </w:r>
          </w:p>
        </w:tc>
      </w:tr>
    </w:tbl>
    <w:p w14:paraId="4E962D28" w14:textId="77777777" w:rsidR="0083746C" w:rsidRDefault="0083746C" w:rsidP="00E947E4">
      <w:pPr>
        <w:pStyle w:val="a0"/>
        <w:rPr>
          <w:szCs w:val="20"/>
        </w:rPr>
      </w:pPr>
    </w:p>
    <w:p w14:paraId="43D5B5C2" w14:textId="0F5FF8BF" w:rsidR="00E947E4" w:rsidRDefault="00120395" w:rsidP="00E947E4">
      <w:pPr>
        <w:pStyle w:val="a0"/>
        <w:rPr>
          <w:rFonts w:eastAsiaTheme="minorEastAsia"/>
          <w:lang w:val="x-none" w:eastAsia="zh-CN"/>
        </w:rPr>
      </w:pPr>
      <w:r w:rsidRPr="006D5513">
        <w:rPr>
          <w:rFonts w:eastAsiaTheme="minorEastAsia"/>
          <w:lang w:val="x-none" w:eastAsia="zh-CN"/>
        </w:rPr>
        <w:t xml:space="preserve">For the case of </w:t>
      </w:r>
      <w:r>
        <w:rPr>
          <w:rFonts w:eastAsiaTheme="minorEastAsia"/>
          <w:lang w:val="x-none" w:eastAsia="zh-CN"/>
        </w:rPr>
        <w:t>downlink, w</w:t>
      </w:r>
      <w:r w:rsidR="00E947E4">
        <w:rPr>
          <w:rFonts w:eastAsiaTheme="minorEastAsia"/>
          <w:lang w:val="x-none" w:eastAsia="zh-CN"/>
        </w:rPr>
        <w:t xml:space="preserve">hen the IAB-donor indicates the IAB-node which slot(s)/symbol(s) are used for access and backhaul link, IAB-node need some time for decoding the indication and some time for preparing using the indicated resources (includes encoding, mapping, modulation and etc.). </w:t>
      </w:r>
      <w:r w:rsidR="00E42B04">
        <w:rPr>
          <w:rFonts w:eastAsiaTheme="minorEastAsia"/>
          <w:lang w:val="x-none" w:eastAsia="zh-CN"/>
        </w:rPr>
        <w:fldChar w:fldCharType="begin"/>
      </w:r>
      <w:r w:rsidR="00E42B04">
        <w:rPr>
          <w:rFonts w:eastAsiaTheme="minorEastAsia"/>
          <w:lang w:val="x-none" w:eastAsia="zh-CN"/>
        </w:rPr>
        <w:instrText xml:space="preserve"> REF _Ref534642263 \h </w:instrText>
      </w:r>
      <w:r w:rsidR="00E42B04">
        <w:rPr>
          <w:rFonts w:eastAsiaTheme="minorEastAsia"/>
          <w:lang w:val="x-none" w:eastAsia="zh-CN"/>
        </w:rPr>
      </w:r>
      <w:r w:rsidR="00E42B04">
        <w:rPr>
          <w:rFonts w:eastAsiaTheme="minorEastAsia"/>
          <w:lang w:val="x-none" w:eastAsia="zh-CN"/>
        </w:rPr>
        <w:fldChar w:fldCharType="separate"/>
      </w:r>
      <w:r w:rsidR="00E42B04">
        <w:t xml:space="preserve">Figure </w:t>
      </w:r>
      <w:r w:rsidR="00E42B04">
        <w:rPr>
          <w:noProof/>
        </w:rPr>
        <w:t>2</w:t>
      </w:r>
      <w:r w:rsidR="00E42B04">
        <w:rPr>
          <w:rFonts w:eastAsiaTheme="minorEastAsia"/>
          <w:lang w:val="x-none" w:eastAsia="zh-CN"/>
        </w:rPr>
        <w:fldChar w:fldCharType="end"/>
      </w:r>
      <w:r w:rsidR="00E42B04">
        <w:rPr>
          <w:rFonts w:eastAsiaTheme="minorEastAsia"/>
          <w:lang w:val="x-none" w:eastAsia="zh-CN"/>
        </w:rPr>
        <w:t xml:space="preserve"> illustrates</w:t>
      </w:r>
      <w:r w:rsidR="00E947E4">
        <w:rPr>
          <w:rFonts w:eastAsiaTheme="minorEastAsia"/>
          <w:lang w:val="x-none" w:eastAsia="zh-CN"/>
        </w:rPr>
        <w:t xml:space="preserve"> the downlink processing required between downlink indication and downlink access resource. Where </w:t>
      </w:r>
      <m:oMath>
        <m:sSubSup>
          <m:sSubSupPr>
            <m:ctrlPr>
              <w:rPr>
                <w:rFonts w:ascii="Cambria Math" w:eastAsiaTheme="minorEastAsia" w:hAnsi="Cambria Math"/>
                <w:lang w:val="x-none" w:eastAsia="zh-CN"/>
              </w:rPr>
            </m:ctrlPr>
          </m:sSubSupPr>
          <m:e>
            <m:r>
              <w:rPr>
                <w:rFonts w:ascii="Cambria Math" w:eastAsiaTheme="minorEastAsia" w:hAnsi="Cambria Math"/>
                <w:lang w:val="x-none" w:eastAsia="zh-CN"/>
              </w:rPr>
              <m:t>N</m:t>
            </m:r>
          </m:e>
          <m:sub>
            <m:r>
              <w:rPr>
                <w:rFonts w:ascii="Cambria Math" w:eastAsiaTheme="minorEastAsia" w:hAnsi="Cambria Math"/>
                <w:lang w:val="x-none" w:eastAsia="zh-CN"/>
              </w:rPr>
              <m:t>1</m:t>
            </m:r>
          </m:sub>
          <m:sup>
            <m:r>
              <w:rPr>
                <w:rFonts w:ascii="Cambria Math" w:eastAsiaTheme="minorEastAsia" w:hAnsi="Cambria Math"/>
                <w:lang w:val="x-none" w:eastAsia="zh-CN"/>
              </w:rPr>
              <m:t>'</m:t>
            </m:r>
          </m:sup>
        </m:sSubSup>
      </m:oMath>
      <w:r w:rsidR="00E947E4">
        <w:rPr>
          <w:rFonts w:eastAsiaTheme="minorEastAsia" w:hint="eastAsia"/>
          <w:lang w:val="x-none" w:eastAsia="zh-CN"/>
        </w:rPr>
        <w:t xml:space="preserve"> denotes the </w:t>
      </w:r>
      <w:r w:rsidR="00E947E4" w:rsidRPr="00A26B4D">
        <w:rPr>
          <w:rFonts w:eastAsiaTheme="minorEastAsia"/>
          <w:lang w:val="x-none" w:eastAsia="zh-CN"/>
        </w:rPr>
        <w:t xml:space="preserve">processing time to decode the </w:t>
      </w:r>
      <w:r w:rsidR="00E947E4">
        <w:rPr>
          <w:rFonts w:eastAsiaTheme="minorEastAsia"/>
          <w:lang w:val="x-none" w:eastAsia="zh-CN"/>
        </w:rPr>
        <w:t>indic</w:t>
      </w:r>
      <w:r w:rsidR="00E947E4" w:rsidRPr="00A26B4D">
        <w:rPr>
          <w:rFonts w:eastAsiaTheme="minorEastAsia"/>
          <w:lang w:val="x-none" w:eastAsia="zh-CN"/>
        </w:rPr>
        <w:t xml:space="preserve">ation, </w:t>
      </w:r>
      <w:r w:rsidR="00E947E4" w:rsidRPr="00A26B4D">
        <w:rPr>
          <w:rFonts w:eastAsiaTheme="minorEastAsia"/>
          <w:i/>
          <w:lang w:val="x-none" w:eastAsia="zh-CN"/>
        </w:rPr>
        <w:t>A</w:t>
      </w:r>
      <w:r w:rsidR="00E947E4" w:rsidRPr="00A26B4D">
        <w:rPr>
          <w:rFonts w:eastAsiaTheme="minorEastAsia"/>
          <w:lang w:val="x-none" w:eastAsia="zh-CN"/>
        </w:rPr>
        <w:t xml:space="preserve"> denotes </w:t>
      </w:r>
      <w:r w:rsidR="00E947E4" w:rsidRPr="00A26B4D">
        <w:rPr>
          <w:color w:val="000000"/>
        </w:rPr>
        <w:t>scheduling preparation time</w:t>
      </w:r>
      <w:r w:rsidR="00E947E4">
        <w:rPr>
          <w:color w:val="000000"/>
        </w:rPr>
        <w:t xml:space="preserve"> for the access link</w:t>
      </w:r>
      <w:r w:rsidR="00E947E4" w:rsidRPr="00A26B4D">
        <w:rPr>
          <w:color w:val="000000"/>
        </w:rPr>
        <w:t>.</w:t>
      </w:r>
      <w:r w:rsidR="00E947E4">
        <w:rPr>
          <w:color w:val="000000"/>
        </w:rPr>
        <w:t xml:space="preserve"> </w:t>
      </w:r>
    </w:p>
    <w:p w14:paraId="3FB0EFA0" w14:textId="3D4EE0DF" w:rsidR="00E42B04" w:rsidRDefault="004F4B4E" w:rsidP="00E42B04">
      <w:pPr>
        <w:pStyle w:val="a0"/>
        <w:keepNext/>
        <w:jc w:val="center"/>
      </w:pPr>
      <w:r>
        <w:rPr>
          <w:noProof/>
          <w:lang w:eastAsia="zh-CN"/>
        </w:rPr>
        <w:drawing>
          <wp:inline distT="0" distB="0" distL="0" distR="0" wp14:anchorId="6A9BF101" wp14:editId="70F83E76">
            <wp:extent cx="3481200" cy="2754000"/>
            <wp:effectExtent l="0" t="0" r="5080"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81200" cy="2754000"/>
                    </a:xfrm>
                    <a:prstGeom prst="rect">
                      <a:avLst/>
                    </a:prstGeom>
                    <a:noFill/>
                  </pic:spPr>
                </pic:pic>
              </a:graphicData>
            </a:graphic>
          </wp:inline>
        </w:drawing>
      </w:r>
    </w:p>
    <w:p w14:paraId="78AAA020" w14:textId="05171D69" w:rsidR="00E947E4" w:rsidRDefault="00E42B04" w:rsidP="00E42B04">
      <w:pPr>
        <w:pStyle w:val="a5"/>
        <w:jc w:val="center"/>
        <w:rPr>
          <w:rFonts w:eastAsiaTheme="minorEastAsia"/>
          <w:lang w:val="x-none" w:eastAsia="zh-CN"/>
        </w:rPr>
      </w:pPr>
      <w:bookmarkStart w:id="4" w:name="_Ref534642263"/>
      <w:r>
        <w:t xml:space="preserve">Figure </w:t>
      </w:r>
      <w:r w:rsidR="00D26A2E">
        <w:fldChar w:fldCharType="begin"/>
      </w:r>
      <w:r w:rsidR="00D26A2E">
        <w:instrText xml:space="preserve"> SEQ Figure \* ARABIC </w:instrText>
      </w:r>
      <w:r w:rsidR="00D26A2E">
        <w:fldChar w:fldCharType="separate"/>
      </w:r>
      <w:r>
        <w:rPr>
          <w:noProof/>
        </w:rPr>
        <w:t>2</w:t>
      </w:r>
      <w:r w:rsidR="00D26A2E">
        <w:rPr>
          <w:noProof/>
        </w:rPr>
        <w:fldChar w:fldCharType="end"/>
      </w:r>
      <w:bookmarkEnd w:id="4"/>
      <w:r>
        <w:t xml:space="preserve"> </w:t>
      </w:r>
      <w:r w:rsidRPr="00E42B04">
        <w:t>IAB node scheduling delay and processing delays for downlink</w:t>
      </w:r>
    </w:p>
    <w:p w14:paraId="29D1A1DE" w14:textId="77777777" w:rsidR="00E947E4" w:rsidRPr="006D5513" w:rsidRDefault="00E947E4" w:rsidP="00E947E4">
      <w:pPr>
        <w:pStyle w:val="a0"/>
        <w:rPr>
          <w:rFonts w:eastAsiaTheme="minorEastAsia"/>
          <w:lang w:val="x-none" w:eastAsia="zh-CN"/>
        </w:rPr>
      </w:pPr>
      <w:r w:rsidRPr="006D5513">
        <w:rPr>
          <w:rFonts w:eastAsiaTheme="minorEastAsia"/>
          <w:lang w:val="x-none" w:eastAsia="zh-CN"/>
        </w:rPr>
        <w:t xml:space="preserve">For the case of uplink, </w:t>
      </w:r>
      <w:r>
        <w:rPr>
          <w:rFonts w:eastAsiaTheme="minorEastAsia"/>
          <w:lang w:val="x-none" w:eastAsia="zh-CN"/>
        </w:rPr>
        <w:t>IAB-node also need some time for decoding the indication (</w:t>
      </w:r>
      <m:oMath>
        <m:sSubSup>
          <m:sSubSupPr>
            <m:ctrlPr>
              <w:rPr>
                <w:rFonts w:ascii="Cambria Math" w:eastAsiaTheme="minorEastAsia" w:hAnsi="Cambria Math"/>
                <w:lang w:val="x-none" w:eastAsia="zh-CN"/>
              </w:rPr>
            </m:ctrlPr>
          </m:sSubSupPr>
          <m:e>
            <m:r>
              <w:rPr>
                <w:rFonts w:ascii="Cambria Math" w:eastAsiaTheme="minorEastAsia" w:hAnsi="Cambria Math"/>
                <w:lang w:val="x-none" w:eastAsia="zh-CN"/>
              </w:rPr>
              <m:t>N</m:t>
            </m:r>
          </m:e>
          <m:sub>
            <m:r>
              <w:rPr>
                <w:rFonts w:ascii="Cambria Math" w:eastAsiaTheme="minorEastAsia" w:hAnsi="Cambria Math"/>
                <w:lang w:val="x-none" w:eastAsia="zh-CN"/>
              </w:rPr>
              <m:t>1</m:t>
            </m:r>
          </m:sub>
          <m:sup>
            <m:r>
              <w:rPr>
                <w:rFonts w:ascii="Cambria Math" w:eastAsiaTheme="minorEastAsia" w:hAnsi="Cambria Math"/>
                <w:lang w:val="x-none" w:eastAsia="zh-CN"/>
              </w:rPr>
              <m:t>'</m:t>
            </m:r>
          </m:sup>
        </m:sSubSup>
      </m:oMath>
      <w:r>
        <w:rPr>
          <w:rFonts w:eastAsiaTheme="minorEastAsia"/>
          <w:lang w:val="x-none" w:eastAsia="zh-CN"/>
        </w:rPr>
        <w:t>). Also, preparation of the s</w:t>
      </w:r>
      <w:r w:rsidRPr="00D41A4F">
        <w:rPr>
          <w:rFonts w:eastAsiaTheme="minorEastAsia"/>
          <w:lang w:val="x-none" w:eastAsia="zh-CN"/>
        </w:rPr>
        <w:t>cheduling</w:t>
      </w:r>
      <w:r w:rsidRPr="00E25186">
        <w:rPr>
          <w:rFonts w:eastAsiaTheme="minorEastAsia"/>
          <w:lang w:val="x-none"/>
        </w:rPr>
        <w:t xml:space="preserve"> is </w:t>
      </w:r>
      <w:r w:rsidRPr="00D41A4F">
        <w:rPr>
          <w:rFonts w:eastAsiaTheme="minorEastAsia"/>
          <w:lang w:val="x-none" w:eastAsia="zh-CN"/>
        </w:rPr>
        <w:t xml:space="preserve">also </w:t>
      </w:r>
      <w:r w:rsidRPr="00E25186">
        <w:rPr>
          <w:rFonts w:eastAsiaTheme="minorEastAsia"/>
          <w:lang w:val="x-none"/>
        </w:rPr>
        <w:t xml:space="preserve">needed </w:t>
      </w:r>
      <w:r>
        <w:rPr>
          <w:rFonts w:eastAsiaTheme="minorEastAsia"/>
          <w:lang w:val="x-none" w:eastAsia="zh-CN"/>
        </w:rPr>
        <w:t>(</w:t>
      </w:r>
      <m:oMath>
        <m:r>
          <w:rPr>
            <w:rFonts w:ascii="Cambria Math" w:eastAsiaTheme="minorEastAsia" w:hAnsi="Cambria Math"/>
            <w:lang w:val="x-none" w:eastAsia="zh-CN"/>
          </w:rPr>
          <m:t>B</m:t>
        </m:r>
      </m:oMath>
      <w:r>
        <w:rPr>
          <w:rFonts w:eastAsiaTheme="minorEastAsia"/>
          <w:lang w:val="x-none" w:eastAsia="zh-CN"/>
        </w:rPr>
        <w:t>)</w:t>
      </w:r>
      <w:r w:rsidRPr="00D41A4F">
        <w:rPr>
          <w:rFonts w:eastAsiaTheme="minorEastAsia"/>
          <w:lang w:val="x-none" w:eastAsia="zh-CN"/>
        </w:rPr>
        <w:t xml:space="preserve">. In additional, </w:t>
      </w:r>
      <m:oMath>
        <m:sSub>
          <m:sSubPr>
            <m:ctrlPr>
              <w:rPr>
                <w:rFonts w:ascii="Cambria Math" w:eastAsiaTheme="minorEastAsia" w:hAnsi="Cambria Math"/>
                <w:lang w:val="x-none" w:eastAsia="zh-CN"/>
              </w:rPr>
            </m:ctrlPr>
          </m:sSubPr>
          <m:e>
            <m:r>
              <w:rPr>
                <w:rFonts w:ascii="Cambria Math" w:eastAsiaTheme="minorEastAsia" w:hAnsi="Cambria Math"/>
                <w:lang w:val="x-none" w:eastAsia="zh-CN"/>
              </w:rPr>
              <m:t>N</m:t>
            </m:r>
          </m:e>
          <m:sub>
            <m:r>
              <w:rPr>
                <w:rFonts w:ascii="Cambria Math" w:eastAsiaTheme="minorEastAsia" w:hAnsi="Cambria Math"/>
                <w:lang w:val="x-none" w:eastAsia="zh-CN"/>
              </w:rPr>
              <m:t>2</m:t>
            </m:r>
          </m:sub>
        </m:sSub>
      </m:oMath>
      <w:r w:rsidRPr="00D41A4F">
        <w:rPr>
          <w:rFonts w:eastAsiaTheme="minorEastAsia"/>
          <w:lang w:val="x-none" w:eastAsia="zh-CN"/>
        </w:rPr>
        <w:t xml:space="preserve"> processing time as defined in the current spec should be added in order to allow </w:t>
      </w:r>
      <w:r w:rsidRPr="00D41A4F">
        <w:rPr>
          <w:color w:val="000000"/>
        </w:rPr>
        <w:t>UE to decode the PUSCH after receiving uplink grant.</w:t>
      </w:r>
    </w:p>
    <w:p w14:paraId="428E3C7D" w14:textId="1B63C819" w:rsidR="00E42B04" w:rsidRDefault="004F4B4E" w:rsidP="00E42B04">
      <w:pPr>
        <w:pStyle w:val="a0"/>
        <w:keepNext/>
        <w:jc w:val="center"/>
      </w:pPr>
      <w:r>
        <w:rPr>
          <w:noProof/>
          <w:lang w:eastAsia="zh-CN"/>
        </w:rPr>
        <w:lastRenderedPageBreak/>
        <w:drawing>
          <wp:inline distT="0" distB="0" distL="0" distR="0" wp14:anchorId="2B51C592" wp14:editId="26767124">
            <wp:extent cx="3546000" cy="27864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46000" cy="2786400"/>
                    </a:xfrm>
                    <a:prstGeom prst="rect">
                      <a:avLst/>
                    </a:prstGeom>
                    <a:noFill/>
                  </pic:spPr>
                </pic:pic>
              </a:graphicData>
            </a:graphic>
          </wp:inline>
        </w:drawing>
      </w:r>
    </w:p>
    <w:p w14:paraId="6A3B823C" w14:textId="3655434F" w:rsidR="00E947E4" w:rsidRDefault="00E42B04" w:rsidP="00E42B04">
      <w:pPr>
        <w:pStyle w:val="a5"/>
        <w:jc w:val="center"/>
        <w:rPr>
          <w:rFonts w:eastAsiaTheme="minorEastAsia"/>
          <w:lang w:val="x-none" w:eastAsia="zh-CN"/>
        </w:rPr>
      </w:pPr>
      <w:r>
        <w:t xml:space="preserve">Figure </w:t>
      </w:r>
      <w:r w:rsidR="00D26A2E">
        <w:fldChar w:fldCharType="begin"/>
      </w:r>
      <w:r w:rsidR="00D26A2E">
        <w:instrText xml:space="preserve"> SEQ Figure \* ARABIC </w:instrText>
      </w:r>
      <w:r w:rsidR="00D26A2E">
        <w:fldChar w:fldCharType="separate"/>
      </w:r>
      <w:r>
        <w:rPr>
          <w:noProof/>
        </w:rPr>
        <w:t>3</w:t>
      </w:r>
      <w:r w:rsidR="00D26A2E">
        <w:rPr>
          <w:noProof/>
        </w:rPr>
        <w:fldChar w:fldCharType="end"/>
      </w:r>
      <w:r>
        <w:t xml:space="preserve"> </w:t>
      </w:r>
      <w:r w:rsidRPr="00E42B04">
        <w:t>IAB node scheduling delay and processing delays for uplink</w:t>
      </w:r>
    </w:p>
    <w:p w14:paraId="276258B6" w14:textId="2B33526F" w:rsidR="00E947E4" w:rsidRPr="00D73447" w:rsidRDefault="00E947E4" w:rsidP="00E947E4">
      <w:pPr>
        <w:pStyle w:val="a0"/>
        <w:rPr>
          <w:b/>
        </w:rPr>
      </w:pPr>
      <w:r w:rsidRPr="00D73447">
        <w:rPr>
          <w:rFonts w:hint="eastAsia"/>
          <w:b/>
        </w:rPr>
        <w:t xml:space="preserve">Proposal </w:t>
      </w:r>
      <w:r w:rsidR="009E7E61">
        <w:rPr>
          <w:b/>
        </w:rPr>
        <w:t>4</w:t>
      </w:r>
      <w:r w:rsidRPr="00D73447">
        <w:rPr>
          <w:rFonts w:hint="eastAsia"/>
          <w:b/>
        </w:rPr>
        <w:t>:</w:t>
      </w:r>
      <w:r w:rsidR="00E42B04">
        <w:rPr>
          <w:b/>
        </w:rPr>
        <w:t xml:space="preserve"> </w:t>
      </w:r>
      <w:r w:rsidR="00134261">
        <w:rPr>
          <w:b/>
        </w:rPr>
        <w:t xml:space="preserve">For IAB-node, the </w:t>
      </w:r>
      <w:r w:rsidRPr="00D73447">
        <w:rPr>
          <w:b/>
        </w:rPr>
        <w:t xml:space="preserve">processing </w:t>
      </w:r>
      <w:r w:rsidR="00E42B04">
        <w:rPr>
          <w:b/>
        </w:rPr>
        <w:t>times</w:t>
      </w:r>
      <w:r w:rsidRPr="00D73447">
        <w:rPr>
          <w:b/>
        </w:rPr>
        <w:t xml:space="preserve"> </w:t>
      </w:r>
      <w:r w:rsidR="00134261">
        <w:rPr>
          <w:b/>
        </w:rPr>
        <w:t>between a downlink indication for DU child link availability from parent node and PDSCH/PUSCH transmission on DU child link should be defined.</w:t>
      </w:r>
    </w:p>
    <w:p w14:paraId="49ED5C52" w14:textId="77777777" w:rsidR="009A5810" w:rsidRDefault="0084503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31FB982C" w14:textId="7DB25B8F" w:rsidR="008029F8" w:rsidRDefault="008029F8" w:rsidP="00450973">
      <w:pPr>
        <w:pStyle w:val="a0"/>
        <w:rPr>
          <w:rFonts w:eastAsia="宋体"/>
          <w:lang w:val="fr-FR" w:eastAsia="zh-CN"/>
        </w:rPr>
      </w:pPr>
      <w:r w:rsidRPr="008029F8">
        <w:rPr>
          <w:rFonts w:eastAsiaTheme="minorEastAsia"/>
          <w:szCs w:val="20"/>
          <w:lang w:eastAsia="zh-CN"/>
        </w:rPr>
        <w:t>This contribution focus on</w:t>
      </w:r>
      <w:r w:rsidR="00134261">
        <w:rPr>
          <w:rFonts w:eastAsiaTheme="minorEastAsia"/>
          <w:szCs w:val="20"/>
          <w:lang w:eastAsia="zh-CN"/>
        </w:rPr>
        <w:t xml:space="preserve"> resource multpleing among backhaul and access link and the following is proposed,</w:t>
      </w:r>
    </w:p>
    <w:bookmarkEnd w:id="1"/>
    <w:bookmarkEnd w:id="2"/>
    <w:p w14:paraId="5B604E40" w14:textId="77777777" w:rsidR="00134261" w:rsidRDefault="00134261" w:rsidP="00134261">
      <w:pPr>
        <w:pStyle w:val="a0"/>
        <w:rPr>
          <w:rFonts w:ascii="Times New Roman" w:hAnsi="Times New Roman"/>
          <w:b/>
          <w:szCs w:val="20"/>
        </w:rPr>
      </w:pPr>
      <w:r w:rsidRPr="00FB411C">
        <w:rPr>
          <w:rFonts w:ascii="Times New Roman" w:hAnsi="Times New Roman"/>
          <w:b/>
          <w:szCs w:val="20"/>
        </w:rPr>
        <w:t xml:space="preserve">Proposal </w:t>
      </w:r>
      <w:r>
        <w:rPr>
          <w:rFonts w:ascii="Times New Roman" w:hAnsi="Times New Roman"/>
          <w:b/>
          <w:szCs w:val="20"/>
        </w:rPr>
        <w:t>1</w:t>
      </w:r>
      <w:r w:rsidRPr="00FB411C">
        <w:rPr>
          <w:rFonts w:ascii="Times New Roman" w:hAnsi="Times New Roman"/>
          <w:b/>
          <w:szCs w:val="20"/>
        </w:rPr>
        <w:t xml:space="preserve">: Slot format for backhaul link can be design based on the existing </w:t>
      </w:r>
      <w:r w:rsidRPr="00FB411C">
        <w:rPr>
          <w:rFonts w:ascii="Times New Roman" w:hAnsi="Times New Roman"/>
          <w:b/>
          <w:i/>
          <w:szCs w:val="20"/>
        </w:rPr>
        <w:t>TDD-UL-DL-ConfigurationCommon</w:t>
      </w:r>
      <w:r w:rsidRPr="00FB411C">
        <w:rPr>
          <w:rFonts w:ascii="Times New Roman" w:hAnsi="Times New Roman"/>
          <w:b/>
          <w:szCs w:val="20"/>
        </w:rPr>
        <w:t xml:space="preserve">, </w:t>
      </w:r>
      <w:r w:rsidRPr="00FB411C">
        <w:rPr>
          <w:rFonts w:ascii="Times New Roman" w:hAnsi="Times New Roman"/>
          <w:b/>
          <w:i/>
          <w:szCs w:val="20"/>
        </w:rPr>
        <w:t>TDD-UL-DL-ConfigDedicated</w:t>
      </w:r>
      <w:r w:rsidRPr="00FB411C">
        <w:rPr>
          <w:rFonts w:ascii="Times New Roman" w:hAnsi="Times New Roman"/>
          <w:b/>
          <w:szCs w:val="20"/>
        </w:rPr>
        <w:t xml:space="preserve"> and slot format table defined in Table 4.3.2-3 in TS38.211</w:t>
      </w:r>
      <w:r>
        <w:rPr>
          <w:rFonts w:ascii="Times New Roman" w:hAnsi="Times New Roman"/>
          <w:b/>
          <w:szCs w:val="20"/>
        </w:rPr>
        <w:t>. Extending of the signaling should be considered for the followings,</w:t>
      </w:r>
    </w:p>
    <w:p w14:paraId="18A6C179" w14:textId="21CDD288" w:rsidR="00134261" w:rsidRPr="00B054C9" w:rsidRDefault="00134261" w:rsidP="00134261">
      <w:pPr>
        <w:pStyle w:val="a0"/>
        <w:numPr>
          <w:ilvl w:val="0"/>
          <w:numId w:val="15"/>
        </w:numPr>
        <w:rPr>
          <w:rFonts w:ascii="Times New Roman" w:hAnsi="Times New Roman"/>
          <w:b/>
          <w:szCs w:val="20"/>
        </w:rPr>
      </w:pPr>
      <w:r w:rsidRPr="00B054C9">
        <w:rPr>
          <w:rFonts w:ascii="Times New Roman" w:hAnsi="Times New Roman"/>
          <w:b/>
          <w:szCs w:val="20"/>
        </w:rPr>
        <w:t>No restrict</w:t>
      </w:r>
      <w:r>
        <w:rPr>
          <w:rFonts w:ascii="Times New Roman" w:hAnsi="Times New Roman"/>
          <w:b/>
          <w:szCs w:val="20"/>
        </w:rPr>
        <w:t>ion</w:t>
      </w:r>
      <w:r w:rsidRPr="00B054C9">
        <w:rPr>
          <w:rFonts w:ascii="Times New Roman" w:hAnsi="Times New Roman"/>
          <w:b/>
          <w:szCs w:val="20"/>
        </w:rPr>
        <w:t xml:space="preserve"> </w:t>
      </w:r>
      <w:r>
        <w:rPr>
          <w:rFonts w:ascii="Times New Roman" w:hAnsi="Times New Roman"/>
          <w:b/>
          <w:szCs w:val="20"/>
        </w:rPr>
        <w:t xml:space="preserve">to </w:t>
      </w:r>
      <w:r w:rsidRPr="00B054C9">
        <w:rPr>
          <w:rFonts w:ascii="Times New Roman" w:hAnsi="Times New Roman"/>
          <w:b/>
          <w:szCs w:val="20"/>
        </w:rPr>
        <w:t xml:space="preserve">always start from downlink and end with uplink for </w:t>
      </w:r>
      <w:r w:rsidRPr="00B054C9">
        <w:rPr>
          <w:rFonts w:ascii="Times New Roman" w:hAnsi="Times New Roman"/>
          <w:b/>
          <w:i/>
          <w:szCs w:val="20"/>
        </w:rPr>
        <w:t>TDD-UL-DL-ConfigurationCommon</w:t>
      </w:r>
      <w:r w:rsidRPr="00B054C9">
        <w:rPr>
          <w:rFonts w:ascii="Times New Roman" w:hAnsi="Times New Roman"/>
          <w:b/>
          <w:szCs w:val="20"/>
        </w:rPr>
        <w:t xml:space="preserve">, </w:t>
      </w:r>
      <w:r w:rsidRPr="00B054C9">
        <w:rPr>
          <w:rFonts w:ascii="Times New Roman" w:hAnsi="Times New Roman"/>
          <w:b/>
          <w:i/>
          <w:szCs w:val="20"/>
        </w:rPr>
        <w:t>TDD-UL-DL-ConfigDedicated</w:t>
      </w:r>
      <w:r w:rsidRPr="000B55E6">
        <w:rPr>
          <w:rFonts w:ascii="Times New Roman" w:hAnsi="Times New Roman"/>
          <w:b/>
          <w:szCs w:val="20"/>
        </w:rPr>
        <w:t xml:space="preserve"> </w:t>
      </w:r>
      <w:r>
        <w:rPr>
          <w:rFonts w:ascii="Times New Roman" w:hAnsi="Times New Roman"/>
          <w:b/>
          <w:szCs w:val="20"/>
        </w:rPr>
        <w:t xml:space="preserve">and </w:t>
      </w:r>
      <w:r w:rsidRPr="00FB411C">
        <w:rPr>
          <w:rFonts w:ascii="Times New Roman" w:hAnsi="Times New Roman"/>
          <w:b/>
          <w:szCs w:val="20"/>
        </w:rPr>
        <w:t>slot format table defined in Table 4.3.2-3 in TS38.21</w:t>
      </w:r>
      <w:r w:rsidR="0056267A">
        <w:rPr>
          <w:rFonts w:ascii="Times New Roman" w:hAnsi="Times New Roman"/>
          <w:b/>
          <w:szCs w:val="20"/>
        </w:rPr>
        <w:t>1</w:t>
      </w:r>
      <w:r w:rsidRPr="00B054C9">
        <w:rPr>
          <w:rFonts w:ascii="Times New Roman" w:hAnsi="Times New Roman"/>
          <w:b/>
          <w:szCs w:val="20"/>
        </w:rPr>
        <w:t>.</w:t>
      </w:r>
    </w:p>
    <w:p w14:paraId="47EBC450" w14:textId="77777777" w:rsidR="009E7E61" w:rsidRPr="00076250" w:rsidRDefault="009E7E61" w:rsidP="009E7E61">
      <w:pPr>
        <w:pStyle w:val="B1"/>
        <w:ind w:left="0" w:firstLine="0"/>
        <w:rPr>
          <w:b/>
          <w:lang w:val="en-US"/>
        </w:rPr>
      </w:pPr>
      <w:r w:rsidRPr="00076250">
        <w:rPr>
          <w:b/>
          <w:lang w:val="en-US"/>
        </w:rPr>
        <w:t>Proposal 2: For FDM case and DU configuration  ‘Hard’ and MT configuration ‘F’, the parent DU is aware of whether the child DU link’s has Tx/Rx. And the signaling can be from child DU link via L1 or MAC signaling.</w:t>
      </w:r>
    </w:p>
    <w:p w14:paraId="3570EAC8" w14:textId="0EFAD74A" w:rsidR="009E7E61" w:rsidRPr="004F4B4E" w:rsidRDefault="009E7E61" w:rsidP="004F4B4E">
      <w:pPr>
        <w:pStyle w:val="B1"/>
        <w:ind w:left="0" w:firstLine="0"/>
        <w:rPr>
          <w:b/>
        </w:rPr>
      </w:pPr>
      <w:r w:rsidRPr="00076250">
        <w:rPr>
          <w:b/>
          <w:lang w:val="en-US"/>
        </w:rPr>
        <w:t>Proposal 3: For SDM case and DU configuration  ‘Flexible Hard’ and MT configuration ‘F’, the parent DU is aware of whether the child DU link’s has Tx/Rx. And the signaling can be from child DU link via L1 or MAC signaling.</w:t>
      </w:r>
    </w:p>
    <w:p w14:paraId="2F6803EC" w14:textId="77777777" w:rsidR="009E7E61" w:rsidRPr="00D73447" w:rsidRDefault="009E7E61" w:rsidP="009E7E61">
      <w:pPr>
        <w:pStyle w:val="a0"/>
        <w:rPr>
          <w:b/>
        </w:rPr>
      </w:pPr>
      <w:r w:rsidRPr="00D73447">
        <w:rPr>
          <w:rFonts w:hint="eastAsia"/>
          <w:b/>
        </w:rPr>
        <w:t xml:space="preserve">Proposal </w:t>
      </w:r>
      <w:r>
        <w:rPr>
          <w:b/>
        </w:rPr>
        <w:t>4</w:t>
      </w:r>
      <w:r w:rsidRPr="00D73447">
        <w:rPr>
          <w:rFonts w:hint="eastAsia"/>
          <w:b/>
        </w:rPr>
        <w:t>:</w:t>
      </w:r>
      <w:r>
        <w:rPr>
          <w:b/>
        </w:rPr>
        <w:t xml:space="preserve"> For IAB-node, the </w:t>
      </w:r>
      <w:r w:rsidRPr="00D73447">
        <w:rPr>
          <w:b/>
        </w:rPr>
        <w:t xml:space="preserve">processing </w:t>
      </w:r>
      <w:r>
        <w:rPr>
          <w:b/>
        </w:rPr>
        <w:t>times</w:t>
      </w:r>
      <w:r w:rsidRPr="00D73447">
        <w:rPr>
          <w:b/>
        </w:rPr>
        <w:t xml:space="preserve"> </w:t>
      </w:r>
      <w:r>
        <w:rPr>
          <w:b/>
        </w:rPr>
        <w:t>between a downlink indication for DU child link availability from parent node and PDSCH/PUSCH transmission on DU child link should be defined.</w:t>
      </w:r>
    </w:p>
    <w:p w14:paraId="7EF5AC70" w14:textId="77777777" w:rsidR="00134261" w:rsidRDefault="00134261">
      <w:pPr>
        <w:rPr>
          <w:rFonts w:ascii="Times" w:hAnsi="Times"/>
          <w:sz w:val="20"/>
        </w:rPr>
      </w:pPr>
    </w:p>
    <w:p w14:paraId="10EBB3BD" w14:textId="3904015E" w:rsidR="00275D3A" w:rsidRDefault="00275D3A">
      <w:pPr>
        <w:rPr>
          <w:rFonts w:ascii="Times" w:hAnsi="Times"/>
          <w:sz w:val="20"/>
        </w:rPr>
      </w:pPr>
      <w:r>
        <w:br w:type="page"/>
      </w:r>
    </w:p>
    <w:p w14:paraId="69B541AC" w14:textId="77777777" w:rsidR="001E7A31" w:rsidRPr="00A53BB1" w:rsidRDefault="001E7A31" w:rsidP="00A53BB1">
      <w:pPr>
        <w:pStyle w:val="a0"/>
      </w:pPr>
    </w:p>
    <w:p w14:paraId="75BE4034" w14:textId="4C7B8FDE" w:rsidR="00845037" w:rsidRPr="00E44037" w:rsidRDefault="00AE259D" w:rsidP="00E44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E44037">
        <w:rPr>
          <w:rFonts w:ascii="Arial" w:eastAsia="宋体" w:hAnsi="Arial" w:cs="Times New Roman" w:hint="eastAsia"/>
          <w:b w:val="0"/>
          <w:bCs w:val="0"/>
          <w:kern w:val="0"/>
          <w:sz w:val="36"/>
          <w:szCs w:val="20"/>
          <w:lang w:val="fr-FR" w:eastAsia="zh-CN"/>
        </w:rPr>
        <w:t>Annex</w:t>
      </w:r>
      <w:r w:rsidR="00FB411C" w:rsidRPr="00E44037">
        <w:rPr>
          <w:rFonts w:ascii="Arial" w:eastAsia="宋体" w:hAnsi="Arial" w:cs="Times New Roman"/>
          <w:b w:val="0"/>
          <w:bCs w:val="0"/>
          <w:kern w:val="0"/>
          <w:sz w:val="36"/>
          <w:szCs w:val="20"/>
          <w:lang w:val="fr-FR" w:eastAsia="zh-CN"/>
        </w:rPr>
        <w:t xml:space="preserve"> 1. Slot formats</w:t>
      </w:r>
    </w:p>
    <w:p w14:paraId="2BB4DDC7" w14:textId="4EFC7640" w:rsidR="00AE259D" w:rsidRPr="006C1800" w:rsidRDefault="00AE259D" w:rsidP="00AE259D">
      <w:pPr>
        <w:shd w:val="clear" w:color="auto" w:fill="FFFFFF"/>
        <w:spacing w:line="240" w:lineRule="atLeast"/>
        <w:jc w:val="center"/>
      </w:pPr>
      <w:r w:rsidRPr="006C1800">
        <w:rPr>
          <w:rFonts w:hint="eastAsia"/>
        </w:rPr>
        <w:t>&lt;</w:t>
      </w:r>
      <w:bookmarkStart w:id="5" w:name="Slot_format_Table"/>
      <w:r w:rsidRPr="006C1800">
        <w:rPr>
          <w:rFonts w:hint="eastAsia"/>
        </w:rPr>
        <w:t xml:space="preserve">38.211 - </w:t>
      </w:r>
      <w:bookmarkStart w:id="6" w:name="_Hlk512253773"/>
      <w:bookmarkEnd w:id="5"/>
      <w:r w:rsidR="006C1800" w:rsidRPr="00CA657A">
        <w:t>Table 11.1.1-</w:t>
      </w:r>
      <w:bookmarkEnd w:id="6"/>
      <w:r w:rsidR="006C1800" w:rsidRPr="00CA657A">
        <w:t>1: Slot formats for normal cyclic prefix</w:t>
      </w:r>
      <w:r w:rsidR="006C1800" w:rsidRPr="006C1800">
        <w:rPr>
          <w:rFonts w:hint="eastAsia"/>
        </w:rPr>
        <w:t xml:space="preserve"> </w:t>
      </w:r>
      <w:r w:rsidRPr="006C1800">
        <w:rPr>
          <w:rFonts w:hint="eastAsia"/>
        </w:rPr>
        <w:t>&gt;</w:t>
      </w:r>
    </w:p>
    <w:p w14:paraId="1C017103" w14:textId="27741F93" w:rsidR="007C74FB" w:rsidRDefault="007C74FB">
      <w:pPr>
        <w:pStyle w:val="a0"/>
        <w:rPr>
          <w:rFonts w:ascii="Arial" w:eastAsia="宋体" w:hAnsi="Arial"/>
          <w:sz w:val="36"/>
          <w:szCs w:val="20"/>
          <w:lang w:val="fr-FR" w:eastAsia="zh-CN"/>
        </w:rPr>
      </w:pPr>
      <w:r w:rsidRPr="007C74FB">
        <w:rPr>
          <w:rFonts w:eastAsia="宋体" w:hint="eastAsia"/>
          <w:noProof/>
          <w:lang w:eastAsia="zh-CN"/>
        </w:rPr>
        <w:lastRenderedPageBreak/>
        <w:drawing>
          <wp:inline distT="0" distB="0" distL="0" distR="0" wp14:anchorId="1264192E" wp14:editId="59BC15FF">
            <wp:extent cx="5733415" cy="8573683"/>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3415" cy="8573683"/>
                    </a:xfrm>
                    <a:prstGeom prst="rect">
                      <a:avLst/>
                    </a:prstGeom>
                    <a:noFill/>
                    <a:ln>
                      <a:noFill/>
                    </a:ln>
                  </pic:spPr>
                </pic:pic>
              </a:graphicData>
            </a:graphic>
          </wp:inline>
        </w:drawing>
      </w:r>
    </w:p>
    <w:sectPr w:rsidR="007C74FB">
      <w:headerReference w:type="default" r:id="rId13"/>
      <w:footerReference w:type="default" r:id="rId14"/>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5C6BB0" w14:textId="77777777" w:rsidR="003F2BF8" w:rsidRDefault="003F2BF8">
      <w:r>
        <w:separator/>
      </w:r>
    </w:p>
  </w:endnote>
  <w:endnote w:type="continuationSeparator" w:id="0">
    <w:p w14:paraId="76345AC2" w14:textId="77777777" w:rsidR="003F2BF8" w:rsidRDefault="003F2BF8">
      <w:r>
        <w:continuationSeparator/>
      </w:r>
    </w:p>
  </w:endnote>
  <w:endnote w:type="continuationNotice" w:id="1">
    <w:p w14:paraId="52188ADC" w14:textId="77777777" w:rsidR="003F2BF8" w:rsidRDefault="003F2B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C95A5" w14:textId="1F1B6924" w:rsidR="00FB411C" w:rsidRPr="00E7456F" w:rsidRDefault="00FB411C" w:rsidP="00E7456F">
    <w:pPr>
      <w:pStyle w:val="ab"/>
      <w:jc w:val="center"/>
    </w:pPr>
    <w:r>
      <w:rPr>
        <w:rStyle w:val="ac"/>
      </w:rPr>
      <w:fldChar w:fldCharType="begin"/>
    </w:r>
    <w:r>
      <w:rPr>
        <w:rStyle w:val="ac"/>
      </w:rPr>
      <w:instrText xml:space="preserve"> PAGE </w:instrText>
    </w:r>
    <w:r>
      <w:rPr>
        <w:rStyle w:val="ac"/>
      </w:rPr>
      <w:fldChar w:fldCharType="separate"/>
    </w:r>
    <w:r w:rsidR="0056267A">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56267A">
      <w:rPr>
        <w:rStyle w:val="ac"/>
        <w:noProof/>
      </w:rPr>
      <w:t>8</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C196FE" w14:textId="77777777" w:rsidR="003F2BF8" w:rsidRDefault="003F2BF8">
      <w:r>
        <w:separator/>
      </w:r>
    </w:p>
  </w:footnote>
  <w:footnote w:type="continuationSeparator" w:id="0">
    <w:p w14:paraId="73711B97" w14:textId="77777777" w:rsidR="003F2BF8" w:rsidRDefault="003F2BF8">
      <w:r>
        <w:continuationSeparator/>
      </w:r>
    </w:p>
  </w:footnote>
  <w:footnote w:type="continuationNotice" w:id="1">
    <w:p w14:paraId="06FAAB5C" w14:textId="77777777" w:rsidR="003F2BF8" w:rsidRDefault="003F2BF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218FD" w14:textId="77777777" w:rsidR="008C0A66" w:rsidRDefault="008C0A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50A1359"/>
    <w:multiLevelType w:val="hybridMultilevel"/>
    <w:tmpl w:val="EFECC1CA"/>
    <w:lvl w:ilvl="0" w:tplc="E4DC6A2A">
      <w:start w:val="1"/>
      <w:numFmt w:val="bullet"/>
      <w:lvlText w:val="•"/>
      <w:lvlJc w:val="left"/>
      <w:pPr>
        <w:tabs>
          <w:tab w:val="num" w:pos="360"/>
        </w:tabs>
        <w:ind w:left="360" w:hanging="360"/>
      </w:pPr>
      <w:rPr>
        <w:rFonts w:ascii="Arial" w:hAnsi="Arial" w:hint="default"/>
      </w:rPr>
    </w:lvl>
    <w:lvl w:ilvl="1" w:tplc="4B767844">
      <w:start w:val="1"/>
      <w:numFmt w:val="bullet"/>
      <w:lvlText w:val="•"/>
      <w:lvlJc w:val="left"/>
      <w:pPr>
        <w:tabs>
          <w:tab w:val="num" w:pos="1080"/>
        </w:tabs>
        <w:ind w:left="1080" w:hanging="360"/>
      </w:pPr>
      <w:rPr>
        <w:rFonts w:ascii="Arial" w:hAnsi="Arial" w:hint="default"/>
      </w:rPr>
    </w:lvl>
    <w:lvl w:ilvl="2" w:tplc="4BF679CC">
      <w:numFmt w:val="bullet"/>
      <w:lvlText w:val="•"/>
      <w:lvlJc w:val="left"/>
      <w:pPr>
        <w:tabs>
          <w:tab w:val="num" w:pos="1800"/>
        </w:tabs>
        <w:ind w:left="1800" w:hanging="360"/>
      </w:pPr>
      <w:rPr>
        <w:rFonts w:ascii="Arial" w:hAnsi="Arial" w:hint="default"/>
      </w:rPr>
    </w:lvl>
    <w:lvl w:ilvl="3" w:tplc="0DA28410">
      <w:numFmt w:val="bullet"/>
      <w:lvlText w:val="–"/>
      <w:lvlJc w:val="left"/>
      <w:pPr>
        <w:tabs>
          <w:tab w:val="num" w:pos="2520"/>
        </w:tabs>
        <w:ind w:left="2520" w:hanging="360"/>
      </w:pPr>
      <w:rPr>
        <w:rFonts w:ascii="Arial" w:hAnsi="Arial" w:hint="default"/>
      </w:rPr>
    </w:lvl>
    <w:lvl w:ilvl="4" w:tplc="FFE8FAC4" w:tentative="1">
      <w:start w:val="1"/>
      <w:numFmt w:val="bullet"/>
      <w:lvlText w:val="•"/>
      <w:lvlJc w:val="left"/>
      <w:pPr>
        <w:tabs>
          <w:tab w:val="num" w:pos="3240"/>
        </w:tabs>
        <w:ind w:left="3240" w:hanging="360"/>
      </w:pPr>
      <w:rPr>
        <w:rFonts w:ascii="Arial" w:hAnsi="Arial" w:hint="default"/>
      </w:rPr>
    </w:lvl>
    <w:lvl w:ilvl="5" w:tplc="BD2A890C" w:tentative="1">
      <w:start w:val="1"/>
      <w:numFmt w:val="bullet"/>
      <w:lvlText w:val="•"/>
      <w:lvlJc w:val="left"/>
      <w:pPr>
        <w:tabs>
          <w:tab w:val="num" w:pos="3960"/>
        </w:tabs>
        <w:ind w:left="3960" w:hanging="360"/>
      </w:pPr>
      <w:rPr>
        <w:rFonts w:ascii="Arial" w:hAnsi="Arial" w:hint="default"/>
      </w:rPr>
    </w:lvl>
    <w:lvl w:ilvl="6" w:tplc="2AC63C3C" w:tentative="1">
      <w:start w:val="1"/>
      <w:numFmt w:val="bullet"/>
      <w:lvlText w:val="•"/>
      <w:lvlJc w:val="left"/>
      <w:pPr>
        <w:tabs>
          <w:tab w:val="num" w:pos="4680"/>
        </w:tabs>
        <w:ind w:left="4680" w:hanging="360"/>
      </w:pPr>
      <w:rPr>
        <w:rFonts w:ascii="Arial" w:hAnsi="Arial" w:hint="default"/>
      </w:rPr>
    </w:lvl>
    <w:lvl w:ilvl="7" w:tplc="40684794" w:tentative="1">
      <w:start w:val="1"/>
      <w:numFmt w:val="bullet"/>
      <w:lvlText w:val="•"/>
      <w:lvlJc w:val="left"/>
      <w:pPr>
        <w:tabs>
          <w:tab w:val="num" w:pos="5400"/>
        </w:tabs>
        <w:ind w:left="5400" w:hanging="360"/>
      </w:pPr>
      <w:rPr>
        <w:rFonts w:ascii="Arial" w:hAnsi="Arial" w:hint="default"/>
      </w:rPr>
    </w:lvl>
    <w:lvl w:ilvl="8" w:tplc="8360739A" w:tentative="1">
      <w:start w:val="1"/>
      <w:numFmt w:val="bullet"/>
      <w:lvlText w:val="•"/>
      <w:lvlJc w:val="left"/>
      <w:pPr>
        <w:tabs>
          <w:tab w:val="num" w:pos="6120"/>
        </w:tabs>
        <w:ind w:left="6120" w:hanging="360"/>
      </w:pPr>
      <w:rPr>
        <w:rFonts w:ascii="Arial" w:hAnsi="Arial" w:hint="default"/>
      </w:rPr>
    </w:lvl>
  </w:abstractNum>
  <w:abstractNum w:abstractNumId="2">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nsid w:val="12951320"/>
    <w:multiLevelType w:val="hybridMultilevel"/>
    <w:tmpl w:val="A9406B10"/>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3584055"/>
    <w:multiLevelType w:val="hybridMultilevel"/>
    <w:tmpl w:val="80826634"/>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21D7DDF"/>
    <w:multiLevelType w:val="hybridMultilevel"/>
    <w:tmpl w:val="2EE46252"/>
    <w:lvl w:ilvl="0" w:tplc="D892EFE2">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6D74C2C"/>
    <w:multiLevelType w:val="hybridMultilevel"/>
    <w:tmpl w:val="D152DA2A"/>
    <w:lvl w:ilvl="0" w:tplc="3E800DB4">
      <w:start w:val="1"/>
      <w:numFmt w:val="bullet"/>
      <w:lvlText w:val="-"/>
      <w:lvlJc w:val="left"/>
      <w:pPr>
        <w:ind w:left="660" w:hanging="420"/>
      </w:pPr>
      <w:rPr>
        <w:rFonts w:ascii="Verdana" w:hAnsi="Verdana"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7">
    <w:nsid w:val="39A4186A"/>
    <w:multiLevelType w:val="hybridMultilevel"/>
    <w:tmpl w:val="3B1AB8DA"/>
    <w:lvl w:ilvl="0" w:tplc="26481FBA">
      <w:start w:val="1"/>
      <w:numFmt w:val="bullet"/>
      <w:lvlText w:val="-"/>
      <w:lvlJc w:val="left"/>
      <w:pPr>
        <w:ind w:left="420" w:hanging="420"/>
      </w:pPr>
      <w:rPr>
        <w:rFonts w:ascii="Verdana" w:hAnsi="Verdana" w:hint="default"/>
        <w:lang w:val="fr-FR"/>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48292A"/>
    <w:multiLevelType w:val="hybridMultilevel"/>
    <w:tmpl w:val="EC6A1BD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B68397E"/>
    <w:multiLevelType w:val="hybridMultilevel"/>
    <w:tmpl w:val="B260884A"/>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F4621DB"/>
    <w:multiLevelType w:val="hybridMultilevel"/>
    <w:tmpl w:val="F2C29402"/>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19E160B"/>
    <w:multiLevelType w:val="hybridMultilevel"/>
    <w:tmpl w:val="CFAECA9E"/>
    <w:lvl w:ilvl="0" w:tplc="04987BAE">
      <w:start w:val="1"/>
      <w:numFmt w:val="bullet"/>
      <w:lvlText w:val="-"/>
      <w:lvlJc w:val="left"/>
      <w:pPr>
        <w:ind w:left="420" w:hanging="420"/>
      </w:pPr>
      <w:rPr>
        <w:rFonts w:ascii="Calibri" w:eastAsia="Times New Roman"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D9475E7"/>
    <w:multiLevelType w:val="hybridMultilevel"/>
    <w:tmpl w:val="E884AB3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6853185D"/>
    <w:multiLevelType w:val="hybridMultilevel"/>
    <w:tmpl w:val="D3E46FF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260F2B"/>
    <w:multiLevelType w:val="hybridMultilevel"/>
    <w:tmpl w:val="8AAEBB36"/>
    <w:lvl w:ilvl="0" w:tplc="D892EFE2">
      <w:numFmt w:val="bullet"/>
      <w:lvlText w:val="-"/>
      <w:lvlJc w:val="left"/>
      <w:pPr>
        <w:ind w:left="36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2"/>
  </w:num>
  <w:num w:numId="2">
    <w:abstractNumId w:val="0"/>
  </w:num>
  <w:num w:numId="3">
    <w:abstractNumId w:val="21"/>
  </w:num>
  <w:num w:numId="4">
    <w:abstractNumId w:val="2"/>
  </w:num>
  <w:num w:numId="5">
    <w:abstractNumId w:val="18"/>
  </w:num>
  <w:num w:numId="6">
    <w:abstractNumId w:val="7"/>
  </w:num>
  <w:num w:numId="7">
    <w:abstractNumId w:val="17"/>
  </w:num>
  <w:num w:numId="8">
    <w:abstractNumId w:val="1"/>
  </w:num>
  <w:num w:numId="9">
    <w:abstractNumId w:val="6"/>
  </w:num>
  <w:num w:numId="10">
    <w:abstractNumId w:val="15"/>
  </w:num>
  <w:num w:numId="11">
    <w:abstractNumId w:val="8"/>
  </w:num>
  <w:num w:numId="12">
    <w:abstractNumId w:val="13"/>
  </w:num>
  <w:num w:numId="13">
    <w:abstractNumId w:val="11"/>
  </w:num>
  <w:num w:numId="14">
    <w:abstractNumId w:val="14"/>
  </w:num>
  <w:num w:numId="15">
    <w:abstractNumId w:val="10"/>
  </w:num>
  <w:num w:numId="16">
    <w:abstractNumId w:val="19"/>
  </w:num>
  <w:num w:numId="17">
    <w:abstractNumId w:val="3"/>
  </w:num>
  <w:num w:numId="18">
    <w:abstractNumId w:val="4"/>
  </w:num>
  <w:num w:numId="19">
    <w:abstractNumId w:val="20"/>
  </w:num>
  <w:num w:numId="20">
    <w:abstractNumId w:val="5"/>
  </w:num>
  <w:num w:numId="21">
    <w:abstractNumId w:val="9"/>
  </w:num>
  <w:num w:numId="22">
    <w:abstractNumId w:val="16"/>
  </w:num>
  <w:num w:numId="23">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279E"/>
    <w:rsid w:val="00004DD6"/>
    <w:rsid w:val="000054C0"/>
    <w:rsid w:val="000056A7"/>
    <w:rsid w:val="00005B9C"/>
    <w:rsid w:val="000100CC"/>
    <w:rsid w:val="00014788"/>
    <w:rsid w:val="00017714"/>
    <w:rsid w:val="00017F21"/>
    <w:rsid w:val="00022CB4"/>
    <w:rsid w:val="0002462D"/>
    <w:rsid w:val="00024A15"/>
    <w:rsid w:val="000273FD"/>
    <w:rsid w:val="0002784B"/>
    <w:rsid w:val="00032856"/>
    <w:rsid w:val="00032BE2"/>
    <w:rsid w:val="00033B21"/>
    <w:rsid w:val="00034348"/>
    <w:rsid w:val="00037587"/>
    <w:rsid w:val="000377D9"/>
    <w:rsid w:val="0004051F"/>
    <w:rsid w:val="00041699"/>
    <w:rsid w:val="00046452"/>
    <w:rsid w:val="0005100C"/>
    <w:rsid w:val="0005168C"/>
    <w:rsid w:val="00051B53"/>
    <w:rsid w:val="00051C62"/>
    <w:rsid w:val="00052402"/>
    <w:rsid w:val="000528A1"/>
    <w:rsid w:val="00053DF5"/>
    <w:rsid w:val="00055ACB"/>
    <w:rsid w:val="00055FCB"/>
    <w:rsid w:val="00062D7E"/>
    <w:rsid w:val="000636C4"/>
    <w:rsid w:val="00072B01"/>
    <w:rsid w:val="00074060"/>
    <w:rsid w:val="00076E96"/>
    <w:rsid w:val="0007708D"/>
    <w:rsid w:val="000773F6"/>
    <w:rsid w:val="00080662"/>
    <w:rsid w:val="000855F8"/>
    <w:rsid w:val="00085868"/>
    <w:rsid w:val="00095318"/>
    <w:rsid w:val="000958B4"/>
    <w:rsid w:val="00095BBB"/>
    <w:rsid w:val="000969C4"/>
    <w:rsid w:val="00096DAC"/>
    <w:rsid w:val="000A05CD"/>
    <w:rsid w:val="000A18B2"/>
    <w:rsid w:val="000A5466"/>
    <w:rsid w:val="000A64CB"/>
    <w:rsid w:val="000A66F1"/>
    <w:rsid w:val="000A7506"/>
    <w:rsid w:val="000B01B5"/>
    <w:rsid w:val="000B0B02"/>
    <w:rsid w:val="000B31CF"/>
    <w:rsid w:val="000B3979"/>
    <w:rsid w:val="000B3BAB"/>
    <w:rsid w:val="000B3E4E"/>
    <w:rsid w:val="000B4819"/>
    <w:rsid w:val="000B55E6"/>
    <w:rsid w:val="000B5BB8"/>
    <w:rsid w:val="000B6313"/>
    <w:rsid w:val="000C2C02"/>
    <w:rsid w:val="000C6C83"/>
    <w:rsid w:val="000C733F"/>
    <w:rsid w:val="000D515E"/>
    <w:rsid w:val="000D5208"/>
    <w:rsid w:val="000D57AB"/>
    <w:rsid w:val="000D5CAF"/>
    <w:rsid w:val="000D668C"/>
    <w:rsid w:val="000D6CAA"/>
    <w:rsid w:val="000D6F08"/>
    <w:rsid w:val="000D72B3"/>
    <w:rsid w:val="000D7313"/>
    <w:rsid w:val="000D7F0F"/>
    <w:rsid w:val="000E189F"/>
    <w:rsid w:val="000E22D3"/>
    <w:rsid w:val="000E2EA4"/>
    <w:rsid w:val="000E3E99"/>
    <w:rsid w:val="000E5C66"/>
    <w:rsid w:val="000E5FCE"/>
    <w:rsid w:val="000E7848"/>
    <w:rsid w:val="000F0DB3"/>
    <w:rsid w:val="000F162C"/>
    <w:rsid w:val="000F20E6"/>
    <w:rsid w:val="000F5307"/>
    <w:rsid w:val="000F6D45"/>
    <w:rsid w:val="000F7E9E"/>
    <w:rsid w:val="0010065D"/>
    <w:rsid w:val="00100712"/>
    <w:rsid w:val="00103D3A"/>
    <w:rsid w:val="00104824"/>
    <w:rsid w:val="00106082"/>
    <w:rsid w:val="0010634F"/>
    <w:rsid w:val="00107CC3"/>
    <w:rsid w:val="001103E3"/>
    <w:rsid w:val="00110BDC"/>
    <w:rsid w:val="00110E71"/>
    <w:rsid w:val="00111D52"/>
    <w:rsid w:val="00112AB0"/>
    <w:rsid w:val="00112C61"/>
    <w:rsid w:val="001131E4"/>
    <w:rsid w:val="00114348"/>
    <w:rsid w:val="0011627E"/>
    <w:rsid w:val="00120395"/>
    <w:rsid w:val="00122DC7"/>
    <w:rsid w:val="00123920"/>
    <w:rsid w:val="00123FA2"/>
    <w:rsid w:val="001256FC"/>
    <w:rsid w:val="00127E57"/>
    <w:rsid w:val="00130B4A"/>
    <w:rsid w:val="001316E0"/>
    <w:rsid w:val="00131A4A"/>
    <w:rsid w:val="00133CFB"/>
    <w:rsid w:val="00134261"/>
    <w:rsid w:val="00134D51"/>
    <w:rsid w:val="00141CC8"/>
    <w:rsid w:val="00142059"/>
    <w:rsid w:val="001428AB"/>
    <w:rsid w:val="001457AC"/>
    <w:rsid w:val="001460A1"/>
    <w:rsid w:val="00147E5D"/>
    <w:rsid w:val="00147F65"/>
    <w:rsid w:val="00150A25"/>
    <w:rsid w:val="00151437"/>
    <w:rsid w:val="001530FD"/>
    <w:rsid w:val="001531D8"/>
    <w:rsid w:val="0015335C"/>
    <w:rsid w:val="001537C6"/>
    <w:rsid w:val="001554AC"/>
    <w:rsid w:val="001565F5"/>
    <w:rsid w:val="00160B53"/>
    <w:rsid w:val="0016180C"/>
    <w:rsid w:val="00161B07"/>
    <w:rsid w:val="00161C70"/>
    <w:rsid w:val="00165ABE"/>
    <w:rsid w:val="00166DFC"/>
    <w:rsid w:val="00167548"/>
    <w:rsid w:val="00171099"/>
    <w:rsid w:val="00171298"/>
    <w:rsid w:val="001722F6"/>
    <w:rsid w:val="00173200"/>
    <w:rsid w:val="0017424D"/>
    <w:rsid w:val="00174729"/>
    <w:rsid w:val="00180061"/>
    <w:rsid w:val="00181F2E"/>
    <w:rsid w:val="00184C16"/>
    <w:rsid w:val="00184EF0"/>
    <w:rsid w:val="00190C90"/>
    <w:rsid w:val="0019151A"/>
    <w:rsid w:val="00191EFE"/>
    <w:rsid w:val="001928B8"/>
    <w:rsid w:val="00192BE0"/>
    <w:rsid w:val="00193B07"/>
    <w:rsid w:val="00193CB3"/>
    <w:rsid w:val="00195826"/>
    <w:rsid w:val="00195A32"/>
    <w:rsid w:val="0019617E"/>
    <w:rsid w:val="001A03F5"/>
    <w:rsid w:val="001A0607"/>
    <w:rsid w:val="001A3365"/>
    <w:rsid w:val="001A4B6E"/>
    <w:rsid w:val="001A68BF"/>
    <w:rsid w:val="001A71A6"/>
    <w:rsid w:val="001B283F"/>
    <w:rsid w:val="001B5566"/>
    <w:rsid w:val="001C1358"/>
    <w:rsid w:val="001C1508"/>
    <w:rsid w:val="001C2127"/>
    <w:rsid w:val="001C2481"/>
    <w:rsid w:val="001C29E8"/>
    <w:rsid w:val="001C2EB9"/>
    <w:rsid w:val="001C352F"/>
    <w:rsid w:val="001C4D12"/>
    <w:rsid w:val="001C5354"/>
    <w:rsid w:val="001C6F50"/>
    <w:rsid w:val="001C76AC"/>
    <w:rsid w:val="001D1E28"/>
    <w:rsid w:val="001D39E9"/>
    <w:rsid w:val="001D4EF1"/>
    <w:rsid w:val="001D68AB"/>
    <w:rsid w:val="001D6B18"/>
    <w:rsid w:val="001D6C22"/>
    <w:rsid w:val="001D79F6"/>
    <w:rsid w:val="001D7A31"/>
    <w:rsid w:val="001E3E02"/>
    <w:rsid w:val="001E3FF2"/>
    <w:rsid w:val="001E6A17"/>
    <w:rsid w:val="001E6D77"/>
    <w:rsid w:val="001E7A31"/>
    <w:rsid w:val="001F0B80"/>
    <w:rsid w:val="001F20D7"/>
    <w:rsid w:val="001F2167"/>
    <w:rsid w:val="001F358A"/>
    <w:rsid w:val="001F74FB"/>
    <w:rsid w:val="002016AF"/>
    <w:rsid w:val="00203254"/>
    <w:rsid w:val="00204993"/>
    <w:rsid w:val="00204FA1"/>
    <w:rsid w:val="00205120"/>
    <w:rsid w:val="00207141"/>
    <w:rsid w:val="00211138"/>
    <w:rsid w:val="0021133F"/>
    <w:rsid w:val="002115E3"/>
    <w:rsid w:val="0021248D"/>
    <w:rsid w:val="002129B0"/>
    <w:rsid w:val="00214AF1"/>
    <w:rsid w:val="00220E0C"/>
    <w:rsid w:val="00221976"/>
    <w:rsid w:val="00222E3F"/>
    <w:rsid w:val="0022538D"/>
    <w:rsid w:val="00226DC1"/>
    <w:rsid w:val="002310ED"/>
    <w:rsid w:val="002319FC"/>
    <w:rsid w:val="002321A9"/>
    <w:rsid w:val="0023460C"/>
    <w:rsid w:val="00235B7E"/>
    <w:rsid w:val="00235D5B"/>
    <w:rsid w:val="00241153"/>
    <w:rsid w:val="0024448A"/>
    <w:rsid w:val="00247106"/>
    <w:rsid w:val="002477F2"/>
    <w:rsid w:val="00247D96"/>
    <w:rsid w:val="00247FA4"/>
    <w:rsid w:val="00250D1E"/>
    <w:rsid w:val="002535F9"/>
    <w:rsid w:val="00253A5B"/>
    <w:rsid w:val="002569E2"/>
    <w:rsid w:val="002574D7"/>
    <w:rsid w:val="00257783"/>
    <w:rsid w:val="00260401"/>
    <w:rsid w:val="002609E8"/>
    <w:rsid w:val="0026135B"/>
    <w:rsid w:val="0026304A"/>
    <w:rsid w:val="00263236"/>
    <w:rsid w:val="00265AB1"/>
    <w:rsid w:val="00265E6D"/>
    <w:rsid w:val="00266E54"/>
    <w:rsid w:val="002706A5"/>
    <w:rsid w:val="00272EE2"/>
    <w:rsid w:val="00273ECB"/>
    <w:rsid w:val="00274325"/>
    <w:rsid w:val="00274F32"/>
    <w:rsid w:val="002754DF"/>
    <w:rsid w:val="00275D3A"/>
    <w:rsid w:val="00276F5A"/>
    <w:rsid w:val="00281B1F"/>
    <w:rsid w:val="00281F85"/>
    <w:rsid w:val="0028228E"/>
    <w:rsid w:val="002823DF"/>
    <w:rsid w:val="00283304"/>
    <w:rsid w:val="00284106"/>
    <w:rsid w:val="00284B36"/>
    <w:rsid w:val="00285517"/>
    <w:rsid w:val="0028655C"/>
    <w:rsid w:val="002907CA"/>
    <w:rsid w:val="00294595"/>
    <w:rsid w:val="002954C3"/>
    <w:rsid w:val="00296D86"/>
    <w:rsid w:val="002974E9"/>
    <w:rsid w:val="002A0313"/>
    <w:rsid w:val="002A0563"/>
    <w:rsid w:val="002A1B1F"/>
    <w:rsid w:val="002A29D3"/>
    <w:rsid w:val="002A313D"/>
    <w:rsid w:val="002A6322"/>
    <w:rsid w:val="002A7EA8"/>
    <w:rsid w:val="002B0AF1"/>
    <w:rsid w:val="002B0DDA"/>
    <w:rsid w:val="002B106F"/>
    <w:rsid w:val="002B34B3"/>
    <w:rsid w:val="002B4E57"/>
    <w:rsid w:val="002B57CE"/>
    <w:rsid w:val="002C007D"/>
    <w:rsid w:val="002C0219"/>
    <w:rsid w:val="002C0304"/>
    <w:rsid w:val="002C1E06"/>
    <w:rsid w:val="002C1FD7"/>
    <w:rsid w:val="002C3299"/>
    <w:rsid w:val="002C3E24"/>
    <w:rsid w:val="002C453A"/>
    <w:rsid w:val="002C455D"/>
    <w:rsid w:val="002C4923"/>
    <w:rsid w:val="002C5AD6"/>
    <w:rsid w:val="002C625D"/>
    <w:rsid w:val="002C62BE"/>
    <w:rsid w:val="002C7CE9"/>
    <w:rsid w:val="002D1686"/>
    <w:rsid w:val="002D22DD"/>
    <w:rsid w:val="002D2C8C"/>
    <w:rsid w:val="002D5ECC"/>
    <w:rsid w:val="002E0EF2"/>
    <w:rsid w:val="002E12CF"/>
    <w:rsid w:val="002E5303"/>
    <w:rsid w:val="002E755D"/>
    <w:rsid w:val="002E7C0F"/>
    <w:rsid w:val="002F1A77"/>
    <w:rsid w:val="002F2BAD"/>
    <w:rsid w:val="002F2E09"/>
    <w:rsid w:val="002F30B2"/>
    <w:rsid w:val="002F3308"/>
    <w:rsid w:val="002F6925"/>
    <w:rsid w:val="00300DC1"/>
    <w:rsid w:val="00303528"/>
    <w:rsid w:val="00303AED"/>
    <w:rsid w:val="003040FA"/>
    <w:rsid w:val="003048A7"/>
    <w:rsid w:val="0030544C"/>
    <w:rsid w:val="003063BF"/>
    <w:rsid w:val="00307475"/>
    <w:rsid w:val="0031342C"/>
    <w:rsid w:val="003139EC"/>
    <w:rsid w:val="003141DE"/>
    <w:rsid w:val="00316981"/>
    <w:rsid w:val="00317265"/>
    <w:rsid w:val="00321581"/>
    <w:rsid w:val="00323A1D"/>
    <w:rsid w:val="00324299"/>
    <w:rsid w:val="00325875"/>
    <w:rsid w:val="003307CA"/>
    <w:rsid w:val="00330E13"/>
    <w:rsid w:val="0033267A"/>
    <w:rsid w:val="00333983"/>
    <w:rsid w:val="00334592"/>
    <w:rsid w:val="0034001B"/>
    <w:rsid w:val="00340E0F"/>
    <w:rsid w:val="00342983"/>
    <w:rsid w:val="003437D1"/>
    <w:rsid w:val="0034413A"/>
    <w:rsid w:val="00344AE4"/>
    <w:rsid w:val="00344E66"/>
    <w:rsid w:val="00346524"/>
    <w:rsid w:val="00346F06"/>
    <w:rsid w:val="00347C37"/>
    <w:rsid w:val="003506AB"/>
    <w:rsid w:val="00351183"/>
    <w:rsid w:val="0035314C"/>
    <w:rsid w:val="003554FE"/>
    <w:rsid w:val="00356453"/>
    <w:rsid w:val="003567C4"/>
    <w:rsid w:val="003604F9"/>
    <w:rsid w:val="0036151A"/>
    <w:rsid w:val="003631EB"/>
    <w:rsid w:val="00364D92"/>
    <w:rsid w:val="0036633B"/>
    <w:rsid w:val="0036761C"/>
    <w:rsid w:val="00367816"/>
    <w:rsid w:val="00367877"/>
    <w:rsid w:val="00370162"/>
    <w:rsid w:val="0037173A"/>
    <w:rsid w:val="00373BE7"/>
    <w:rsid w:val="00373DF3"/>
    <w:rsid w:val="0037513D"/>
    <w:rsid w:val="00375392"/>
    <w:rsid w:val="003773F8"/>
    <w:rsid w:val="00377FAD"/>
    <w:rsid w:val="00382DB2"/>
    <w:rsid w:val="003875DF"/>
    <w:rsid w:val="00390ECA"/>
    <w:rsid w:val="00395CD3"/>
    <w:rsid w:val="00397BCC"/>
    <w:rsid w:val="003A39FB"/>
    <w:rsid w:val="003A66A5"/>
    <w:rsid w:val="003A7134"/>
    <w:rsid w:val="003B00E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D1853"/>
    <w:rsid w:val="003D3518"/>
    <w:rsid w:val="003D3A81"/>
    <w:rsid w:val="003D418E"/>
    <w:rsid w:val="003D44CA"/>
    <w:rsid w:val="003D519E"/>
    <w:rsid w:val="003D7EE3"/>
    <w:rsid w:val="003E19AD"/>
    <w:rsid w:val="003E2409"/>
    <w:rsid w:val="003E2B89"/>
    <w:rsid w:val="003E2C05"/>
    <w:rsid w:val="003E3D90"/>
    <w:rsid w:val="003E5869"/>
    <w:rsid w:val="003E66C0"/>
    <w:rsid w:val="003E6E7D"/>
    <w:rsid w:val="003F1A46"/>
    <w:rsid w:val="003F2BF8"/>
    <w:rsid w:val="003F4012"/>
    <w:rsid w:val="003F42F0"/>
    <w:rsid w:val="003F4CF2"/>
    <w:rsid w:val="003F5451"/>
    <w:rsid w:val="003F6368"/>
    <w:rsid w:val="003F65F4"/>
    <w:rsid w:val="003F671D"/>
    <w:rsid w:val="003F6B07"/>
    <w:rsid w:val="003F6EA9"/>
    <w:rsid w:val="003F707C"/>
    <w:rsid w:val="00400B6B"/>
    <w:rsid w:val="00401370"/>
    <w:rsid w:val="0040283B"/>
    <w:rsid w:val="0040335F"/>
    <w:rsid w:val="00403F09"/>
    <w:rsid w:val="00405630"/>
    <w:rsid w:val="00406253"/>
    <w:rsid w:val="00407F18"/>
    <w:rsid w:val="004127AD"/>
    <w:rsid w:val="00412E40"/>
    <w:rsid w:val="004139E7"/>
    <w:rsid w:val="00413AD0"/>
    <w:rsid w:val="004148DC"/>
    <w:rsid w:val="00415564"/>
    <w:rsid w:val="0041667B"/>
    <w:rsid w:val="00423300"/>
    <w:rsid w:val="004233B8"/>
    <w:rsid w:val="00423DCA"/>
    <w:rsid w:val="004249E7"/>
    <w:rsid w:val="00425DC9"/>
    <w:rsid w:val="00431839"/>
    <w:rsid w:val="00431E2A"/>
    <w:rsid w:val="00434B9F"/>
    <w:rsid w:val="00434E4E"/>
    <w:rsid w:val="004355F4"/>
    <w:rsid w:val="0043609C"/>
    <w:rsid w:val="0043726A"/>
    <w:rsid w:val="004405B2"/>
    <w:rsid w:val="00443756"/>
    <w:rsid w:val="004441E2"/>
    <w:rsid w:val="00444BD2"/>
    <w:rsid w:val="00446637"/>
    <w:rsid w:val="00450973"/>
    <w:rsid w:val="00451E00"/>
    <w:rsid w:val="004547B4"/>
    <w:rsid w:val="00461013"/>
    <w:rsid w:val="00463DC4"/>
    <w:rsid w:val="0046553C"/>
    <w:rsid w:val="00466123"/>
    <w:rsid w:val="00466BDD"/>
    <w:rsid w:val="00467A3F"/>
    <w:rsid w:val="004711D4"/>
    <w:rsid w:val="00471AD0"/>
    <w:rsid w:val="004720FB"/>
    <w:rsid w:val="00475283"/>
    <w:rsid w:val="00480916"/>
    <w:rsid w:val="00481E41"/>
    <w:rsid w:val="00481FB9"/>
    <w:rsid w:val="004831CD"/>
    <w:rsid w:val="00487AAD"/>
    <w:rsid w:val="00490F6A"/>
    <w:rsid w:val="00492704"/>
    <w:rsid w:val="0049327F"/>
    <w:rsid w:val="00494081"/>
    <w:rsid w:val="0049518F"/>
    <w:rsid w:val="00495F27"/>
    <w:rsid w:val="004A3268"/>
    <w:rsid w:val="004A49D2"/>
    <w:rsid w:val="004A4A95"/>
    <w:rsid w:val="004A5113"/>
    <w:rsid w:val="004A6816"/>
    <w:rsid w:val="004A6E10"/>
    <w:rsid w:val="004A735F"/>
    <w:rsid w:val="004A73F2"/>
    <w:rsid w:val="004B0686"/>
    <w:rsid w:val="004B2F38"/>
    <w:rsid w:val="004B54AF"/>
    <w:rsid w:val="004B57CC"/>
    <w:rsid w:val="004B6341"/>
    <w:rsid w:val="004B677D"/>
    <w:rsid w:val="004B67F0"/>
    <w:rsid w:val="004B7ED6"/>
    <w:rsid w:val="004C07C4"/>
    <w:rsid w:val="004C252D"/>
    <w:rsid w:val="004C2750"/>
    <w:rsid w:val="004C326A"/>
    <w:rsid w:val="004C3EA8"/>
    <w:rsid w:val="004C4C04"/>
    <w:rsid w:val="004C4ECC"/>
    <w:rsid w:val="004C5D5B"/>
    <w:rsid w:val="004D0070"/>
    <w:rsid w:val="004D020D"/>
    <w:rsid w:val="004D0F38"/>
    <w:rsid w:val="004D1B94"/>
    <w:rsid w:val="004D602D"/>
    <w:rsid w:val="004D7B88"/>
    <w:rsid w:val="004E04A6"/>
    <w:rsid w:val="004E3572"/>
    <w:rsid w:val="004E3E32"/>
    <w:rsid w:val="004E462B"/>
    <w:rsid w:val="004E5D79"/>
    <w:rsid w:val="004E6C71"/>
    <w:rsid w:val="004E76FB"/>
    <w:rsid w:val="004F11D2"/>
    <w:rsid w:val="004F34C3"/>
    <w:rsid w:val="004F390D"/>
    <w:rsid w:val="004F43B7"/>
    <w:rsid w:val="004F4B4E"/>
    <w:rsid w:val="004F5198"/>
    <w:rsid w:val="004F7FA9"/>
    <w:rsid w:val="00501114"/>
    <w:rsid w:val="00502B39"/>
    <w:rsid w:val="0050425E"/>
    <w:rsid w:val="00504524"/>
    <w:rsid w:val="00510403"/>
    <w:rsid w:val="00511D42"/>
    <w:rsid w:val="00513EE8"/>
    <w:rsid w:val="00514D60"/>
    <w:rsid w:val="0051799E"/>
    <w:rsid w:val="00517D9C"/>
    <w:rsid w:val="00522AAF"/>
    <w:rsid w:val="005245D8"/>
    <w:rsid w:val="00526A6C"/>
    <w:rsid w:val="00526EAA"/>
    <w:rsid w:val="0053079F"/>
    <w:rsid w:val="005318F9"/>
    <w:rsid w:val="00532D9F"/>
    <w:rsid w:val="00532E94"/>
    <w:rsid w:val="00533380"/>
    <w:rsid w:val="005345B5"/>
    <w:rsid w:val="00535A5E"/>
    <w:rsid w:val="00535F9D"/>
    <w:rsid w:val="005373E5"/>
    <w:rsid w:val="005410AD"/>
    <w:rsid w:val="00541C5C"/>
    <w:rsid w:val="00542F24"/>
    <w:rsid w:val="00543483"/>
    <w:rsid w:val="005436FA"/>
    <w:rsid w:val="00543FE1"/>
    <w:rsid w:val="005444E9"/>
    <w:rsid w:val="00546966"/>
    <w:rsid w:val="00547A31"/>
    <w:rsid w:val="00547B3A"/>
    <w:rsid w:val="00551185"/>
    <w:rsid w:val="005543C7"/>
    <w:rsid w:val="00554EAB"/>
    <w:rsid w:val="00555A24"/>
    <w:rsid w:val="0056267A"/>
    <w:rsid w:val="00562AD2"/>
    <w:rsid w:val="00562DB5"/>
    <w:rsid w:val="00565FF9"/>
    <w:rsid w:val="00566AB9"/>
    <w:rsid w:val="00570251"/>
    <w:rsid w:val="00572A00"/>
    <w:rsid w:val="00575405"/>
    <w:rsid w:val="005802C5"/>
    <w:rsid w:val="00581A9B"/>
    <w:rsid w:val="005838EB"/>
    <w:rsid w:val="00585407"/>
    <w:rsid w:val="00585BA1"/>
    <w:rsid w:val="00586508"/>
    <w:rsid w:val="00591A4B"/>
    <w:rsid w:val="00592353"/>
    <w:rsid w:val="00593295"/>
    <w:rsid w:val="005939A6"/>
    <w:rsid w:val="00593FA1"/>
    <w:rsid w:val="00597EBD"/>
    <w:rsid w:val="005A00E5"/>
    <w:rsid w:val="005A04F8"/>
    <w:rsid w:val="005A17B9"/>
    <w:rsid w:val="005A1A32"/>
    <w:rsid w:val="005A1B4C"/>
    <w:rsid w:val="005A1D98"/>
    <w:rsid w:val="005A20D0"/>
    <w:rsid w:val="005A424B"/>
    <w:rsid w:val="005A4865"/>
    <w:rsid w:val="005A4BD1"/>
    <w:rsid w:val="005B04BD"/>
    <w:rsid w:val="005B48F0"/>
    <w:rsid w:val="005B7089"/>
    <w:rsid w:val="005C324E"/>
    <w:rsid w:val="005C4474"/>
    <w:rsid w:val="005C4781"/>
    <w:rsid w:val="005C5A45"/>
    <w:rsid w:val="005C6F75"/>
    <w:rsid w:val="005C7BFF"/>
    <w:rsid w:val="005D0E44"/>
    <w:rsid w:val="005D25B3"/>
    <w:rsid w:val="005D25DE"/>
    <w:rsid w:val="005D389D"/>
    <w:rsid w:val="005D5A72"/>
    <w:rsid w:val="005D63F1"/>
    <w:rsid w:val="005D6636"/>
    <w:rsid w:val="005D7AEA"/>
    <w:rsid w:val="005E142E"/>
    <w:rsid w:val="005E1E11"/>
    <w:rsid w:val="005E33CC"/>
    <w:rsid w:val="005E3AA6"/>
    <w:rsid w:val="005F279F"/>
    <w:rsid w:val="005F3780"/>
    <w:rsid w:val="005F64E9"/>
    <w:rsid w:val="005F70CC"/>
    <w:rsid w:val="006026D9"/>
    <w:rsid w:val="00603893"/>
    <w:rsid w:val="006039F5"/>
    <w:rsid w:val="00603DCE"/>
    <w:rsid w:val="00604D80"/>
    <w:rsid w:val="006060E6"/>
    <w:rsid w:val="00607341"/>
    <w:rsid w:val="00607EE0"/>
    <w:rsid w:val="00611084"/>
    <w:rsid w:val="006136AC"/>
    <w:rsid w:val="00613930"/>
    <w:rsid w:val="0061440B"/>
    <w:rsid w:val="00616117"/>
    <w:rsid w:val="00617B2E"/>
    <w:rsid w:val="006208F6"/>
    <w:rsid w:val="00621FC6"/>
    <w:rsid w:val="00622D80"/>
    <w:rsid w:val="006234D2"/>
    <w:rsid w:val="006239E7"/>
    <w:rsid w:val="00624D94"/>
    <w:rsid w:val="006253D0"/>
    <w:rsid w:val="00625575"/>
    <w:rsid w:val="00626694"/>
    <w:rsid w:val="00627EF1"/>
    <w:rsid w:val="00630230"/>
    <w:rsid w:val="00635943"/>
    <w:rsid w:val="00635D74"/>
    <w:rsid w:val="00636AFB"/>
    <w:rsid w:val="006379B2"/>
    <w:rsid w:val="00637CD7"/>
    <w:rsid w:val="0064062F"/>
    <w:rsid w:val="0064280F"/>
    <w:rsid w:val="006448D7"/>
    <w:rsid w:val="00644DE1"/>
    <w:rsid w:val="00645238"/>
    <w:rsid w:val="0064523E"/>
    <w:rsid w:val="00645373"/>
    <w:rsid w:val="00646D76"/>
    <w:rsid w:val="006509F7"/>
    <w:rsid w:val="00653FC7"/>
    <w:rsid w:val="00655386"/>
    <w:rsid w:val="006567BC"/>
    <w:rsid w:val="00656C46"/>
    <w:rsid w:val="00657187"/>
    <w:rsid w:val="006637C9"/>
    <w:rsid w:val="00663E69"/>
    <w:rsid w:val="006646E2"/>
    <w:rsid w:val="00673620"/>
    <w:rsid w:val="00674EC1"/>
    <w:rsid w:val="006756EE"/>
    <w:rsid w:val="00675EFE"/>
    <w:rsid w:val="00677C4C"/>
    <w:rsid w:val="006816DD"/>
    <w:rsid w:val="00684E5E"/>
    <w:rsid w:val="00685325"/>
    <w:rsid w:val="006855A7"/>
    <w:rsid w:val="00685884"/>
    <w:rsid w:val="00685B7B"/>
    <w:rsid w:val="0068613C"/>
    <w:rsid w:val="00686C40"/>
    <w:rsid w:val="006875F9"/>
    <w:rsid w:val="0069121A"/>
    <w:rsid w:val="00691685"/>
    <w:rsid w:val="006927E9"/>
    <w:rsid w:val="006928DC"/>
    <w:rsid w:val="00692B2A"/>
    <w:rsid w:val="006934BB"/>
    <w:rsid w:val="00694A4D"/>
    <w:rsid w:val="00694B0F"/>
    <w:rsid w:val="006954D1"/>
    <w:rsid w:val="00695DD9"/>
    <w:rsid w:val="00697C59"/>
    <w:rsid w:val="006A1445"/>
    <w:rsid w:val="006A260C"/>
    <w:rsid w:val="006A6DF0"/>
    <w:rsid w:val="006A798C"/>
    <w:rsid w:val="006B2683"/>
    <w:rsid w:val="006B3D0F"/>
    <w:rsid w:val="006B49CF"/>
    <w:rsid w:val="006B5BEF"/>
    <w:rsid w:val="006B5BFC"/>
    <w:rsid w:val="006B5E54"/>
    <w:rsid w:val="006B6C18"/>
    <w:rsid w:val="006C151C"/>
    <w:rsid w:val="006C1800"/>
    <w:rsid w:val="006C3073"/>
    <w:rsid w:val="006C7617"/>
    <w:rsid w:val="006D02E3"/>
    <w:rsid w:val="006D0931"/>
    <w:rsid w:val="006D104F"/>
    <w:rsid w:val="006D1CFC"/>
    <w:rsid w:val="006D2509"/>
    <w:rsid w:val="006D25AD"/>
    <w:rsid w:val="006D41C5"/>
    <w:rsid w:val="006D45A8"/>
    <w:rsid w:val="006D50A9"/>
    <w:rsid w:val="006D5513"/>
    <w:rsid w:val="006D6095"/>
    <w:rsid w:val="006D6EAE"/>
    <w:rsid w:val="006D7314"/>
    <w:rsid w:val="006D7A90"/>
    <w:rsid w:val="006D7ABA"/>
    <w:rsid w:val="006E2A6B"/>
    <w:rsid w:val="006E2C93"/>
    <w:rsid w:val="006E2F7B"/>
    <w:rsid w:val="006E39A7"/>
    <w:rsid w:val="006F36C0"/>
    <w:rsid w:val="007001CA"/>
    <w:rsid w:val="007016BD"/>
    <w:rsid w:val="0070223D"/>
    <w:rsid w:val="0070361A"/>
    <w:rsid w:val="00703C95"/>
    <w:rsid w:val="00705877"/>
    <w:rsid w:val="00707BA0"/>
    <w:rsid w:val="007107AE"/>
    <w:rsid w:val="00710DC5"/>
    <w:rsid w:val="007113FD"/>
    <w:rsid w:val="007127B0"/>
    <w:rsid w:val="00712B89"/>
    <w:rsid w:val="00713943"/>
    <w:rsid w:val="00715120"/>
    <w:rsid w:val="007157F1"/>
    <w:rsid w:val="00715CE6"/>
    <w:rsid w:val="00715FC2"/>
    <w:rsid w:val="0071721A"/>
    <w:rsid w:val="007215E9"/>
    <w:rsid w:val="00721AE0"/>
    <w:rsid w:val="00721C7A"/>
    <w:rsid w:val="00722401"/>
    <w:rsid w:val="00722D64"/>
    <w:rsid w:val="00723987"/>
    <w:rsid w:val="0072441A"/>
    <w:rsid w:val="00726A48"/>
    <w:rsid w:val="00727347"/>
    <w:rsid w:val="007308B9"/>
    <w:rsid w:val="007336DA"/>
    <w:rsid w:val="00734F28"/>
    <w:rsid w:val="007358C4"/>
    <w:rsid w:val="00735D34"/>
    <w:rsid w:val="007368F3"/>
    <w:rsid w:val="00736B7E"/>
    <w:rsid w:val="007405B9"/>
    <w:rsid w:val="00741D42"/>
    <w:rsid w:val="00743CFC"/>
    <w:rsid w:val="00750473"/>
    <w:rsid w:val="007515A7"/>
    <w:rsid w:val="00753461"/>
    <w:rsid w:val="0075647B"/>
    <w:rsid w:val="00760A36"/>
    <w:rsid w:val="00761FF0"/>
    <w:rsid w:val="00763141"/>
    <w:rsid w:val="0076347F"/>
    <w:rsid w:val="00763580"/>
    <w:rsid w:val="00764384"/>
    <w:rsid w:val="00767504"/>
    <w:rsid w:val="00770515"/>
    <w:rsid w:val="00770B92"/>
    <w:rsid w:val="007715D2"/>
    <w:rsid w:val="00771632"/>
    <w:rsid w:val="00773D42"/>
    <w:rsid w:val="00774050"/>
    <w:rsid w:val="00774216"/>
    <w:rsid w:val="00776BD7"/>
    <w:rsid w:val="0077721A"/>
    <w:rsid w:val="00777B7A"/>
    <w:rsid w:val="00780ACD"/>
    <w:rsid w:val="00783192"/>
    <w:rsid w:val="00783D3C"/>
    <w:rsid w:val="00783F2D"/>
    <w:rsid w:val="00784A2E"/>
    <w:rsid w:val="00791143"/>
    <w:rsid w:val="00791251"/>
    <w:rsid w:val="00791E9B"/>
    <w:rsid w:val="00791F8B"/>
    <w:rsid w:val="00793084"/>
    <w:rsid w:val="00794090"/>
    <w:rsid w:val="00794F1E"/>
    <w:rsid w:val="00795598"/>
    <w:rsid w:val="00797336"/>
    <w:rsid w:val="007A0199"/>
    <w:rsid w:val="007A3716"/>
    <w:rsid w:val="007A3F35"/>
    <w:rsid w:val="007B0733"/>
    <w:rsid w:val="007B10E8"/>
    <w:rsid w:val="007B18BA"/>
    <w:rsid w:val="007B4D0E"/>
    <w:rsid w:val="007B520B"/>
    <w:rsid w:val="007C053D"/>
    <w:rsid w:val="007C12A0"/>
    <w:rsid w:val="007C16B1"/>
    <w:rsid w:val="007C196E"/>
    <w:rsid w:val="007C2702"/>
    <w:rsid w:val="007C2828"/>
    <w:rsid w:val="007C2919"/>
    <w:rsid w:val="007C48AF"/>
    <w:rsid w:val="007C53F9"/>
    <w:rsid w:val="007C6012"/>
    <w:rsid w:val="007C74FB"/>
    <w:rsid w:val="007C7954"/>
    <w:rsid w:val="007D0C2E"/>
    <w:rsid w:val="007D30B5"/>
    <w:rsid w:val="007D48FD"/>
    <w:rsid w:val="007D6771"/>
    <w:rsid w:val="007E194D"/>
    <w:rsid w:val="007E196E"/>
    <w:rsid w:val="007E2C0C"/>
    <w:rsid w:val="007E35BF"/>
    <w:rsid w:val="007E4044"/>
    <w:rsid w:val="007E4C40"/>
    <w:rsid w:val="007E4E8B"/>
    <w:rsid w:val="007E528C"/>
    <w:rsid w:val="007E7517"/>
    <w:rsid w:val="007F1C1E"/>
    <w:rsid w:val="007F1DB8"/>
    <w:rsid w:val="007F269F"/>
    <w:rsid w:val="007F3437"/>
    <w:rsid w:val="007F4E89"/>
    <w:rsid w:val="007F660E"/>
    <w:rsid w:val="007F78EF"/>
    <w:rsid w:val="008029F8"/>
    <w:rsid w:val="00806DBB"/>
    <w:rsid w:val="00807B9C"/>
    <w:rsid w:val="0081308D"/>
    <w:rsid w:val="0081473D"/>
    <w:rsid w:val="00814E23"/>
    <w:rsid w:val="00815470"/>
    <w:rsid w:val="00815E0D"/>
    <w:rsid w:val="00817A80"/>
    <w:rsid w:val="008212BE"/>
    <w:rsid w:val="008224E4"/>
    <w:rsid w:val="0082461F"/>
    <w:rsid w:val="0082533A"/>
    <w:rsid w:val="00825F55"/>
    <w:rsid w:val="0082631B"/>
    <w:rsid w:val="00827C8C"/>
    <w:rsid w:val="00831D08"/>
    <w:rsid w:val="008323EF"/>
    <w:rsid w:val="00832408"/>
    <w:rsid w:val="00835653"/>
    <w:rsid w:val="0083664A"/>
    <w:rsid w:val="0083746C"/>
    <w:rsid w:val="00837FFE"/>
    <w:rsid w:val="0084019B"/>
    <w:rsid w:val="008424A0"/>
    <w:rsid w:val="008427B7"/>
    <w:rsid w:val="00844D26"/>
    <w:rsid w:val="00844F36"/>
    <w:rsid w:val="00845037"/>
    <w:rsid w:val="0084595A"/>
    <w:rsid w:val="00846501"/>
    <w:rsid w:val="008501C8"/>
    <w:rsid w:val="008513F6"/>
    <w:rsid w:val="008521C4"/>
    <w:rsid w:val="008524B3"/>
    <w:rsid w:val="00852B63"/>
    <w:rsid w:val="00855B05"/>
    <w:rsid w:val="0085607A"/>
    <w:rsid w:val="0085612D"/>
    <w:rsid w:val="00856488"/>
    <w:rsid w:val="0085794A"/>
    <w:rsid w:val="00862F22"/>
    <w:rsid w:val="00863FDF"/>
    <w:rsid w:val="00866ACC"/>
    <w:rsid w:val="00867A28"/>
    <w:rsid w:val="0087085A"/>
    <w:rsid w:val="00871B17"/>
    <w:rsid w:val="00872044"/>
    <w:rsid w:val="00873485"/>
    <w:rsid w:val="00873CD6"/>
    <w:rsid w:val="00873F0F"/>
    <w:rsid w:val="0087664F"/>
    <w:rsid w:val="00877D07"/>
    <w:rsid w:val="0088015F"/>
    <w:rsid w:val="00881A05"/>
    <w:rsid w:val="00882362"/>
    <w:rsid w:val="0088316D"/>
    <w:rsid w:val="008831CC"/>
    <w:rsid w:val="00884FF4"/>
    <w:rsid w:val="00885D9F"/>
    <w:rsid w:val="00886BBB"/>
    <w:rsid w:val="00895011"/>
    <w:rsid w:val="008979E3"/>
    <w:rsid w:val="00897BB1"/>
    <w:rsid w:val="008A0FB1"/>
    <w:rsid w:val="008A3001"/>
    <w:rsid w:val="008A3109"/>
    <w:rsid w:val="008A4CB9"/>
    <w:rsid w:val="008A4D6D"/>
    <w:rsid w:val="008A5963"/>
    <w:rsid w:val="008A7A41"/>
    <w:rsid w:val="008B02D6"/>
    <w:rsid w:val="008B13B8"/>
    <w:rsid w:val="008B5623"/>
    <w:rsid w:val="008B6BBE"/>
    <w:rsid w:val="008B78DA"/>
    <w:rsid w:val="008C0047"/>
    <w:rsid w:val="008C0A66"/>
    <w:rsid w:val="008C0C60"/>
    <w:rsid w:val="008C0F1D"/>
    <w:rsid w:val="008C1DFC"/>
    <w:rsid w:val="008C2707"/>
    <w:rsid w:val="008C51D8"/>
    <w:rsid w:val="008C6131"/>
    <w:rsid w:val="008C6C26"/>
    <w:rsid w:val="008D04FD"/>
    <w:rsid w:val="008D3BA1"/>
    <w:rsid w:val="008D45CC"/>
    <w:rsid w:val="008D4901"/>
    <w:rsid w:val="008D4E62"/>
    <w:rsid w:val="008D532B"/>
    <w:rsid w:val="008D5E4E"/>
    <w:rsid w:val="008E4DA8"/>
    <w:rsid w:val="008E7723"/>
    <w:rsid w:val="008F151C"/>
    <w:rsid w:val="008F5426"/>
    <w:rsid w:val="008F72A8"/>
    <w:rsid w:val="008F792C"/>
    <w:rsid w:val="00900123"/>
    <w:rsid w:val="00901E67"/>
    <w:rsid w:val="00902476"/>
    <w:rsid w:val="0090273E"/>
    <w:rsid w:val="009049B1"/>
    <w:rsid w:val="00905A05"/>
    <w:rsid w:val="00906DE7"/>
    <w:rsid w:val="00911678"/>
    <w:rsid w:val="00915D31"/>
    <w:rsid w:val="00915D5C"/>
    <w:rsid w:val="00915F83"/>
    <w:rsid w:val="00920C25"/>
    <w:rsid w:val="0092447F"/>
    <w:rsid w:val="00926067"/>
    <w:rsid w:val="0093083A"/>
    <w:rsid w:val="00930D41"/>
    <w:rsid w:val="00930F36"/>
    <w:rsid w:val="0093101B"/>
    <w:rsid w:val="00933B22"/>
    <w:rsid w:val="0093759A"/>
    <w:rsid w:val="009421B1"/>
    <w:rsid w:val="00943646"/>
    <w:rsid w:val="009452D4"/>
    <w:rsid w:val="00945414"/>
    <w:rsid w:val="00945639"/>
    <w:rsid w:val="00945E01"/>
    <w:rsid w:val="00947E14"/>
    <w:rsid w:val="009506EC"/>
    <w:rsid w:val="00950D21"/>
    <w:rsid w:val="009529DD"/>
    <w:rsid w:val="00952A10"/>
    <w:rsid w:val="00952B47"/>
    <w:rsid w:val="00953006"/>
    <w:rsid w:val="009541D1"/>
    <w:rsid w:val="009553CC"/>
    <w:rsid w:val="00955608"/>
    <w:rsid w:val="00956584"/>
    <w:rsid w:val="00956B46"/>
    <w:rsid w:val="00957F15"/>
    <w:rsid w:val="00960493"/>
    <w:rsid w:val="009618DB"/>
    <w:rsid w:val="009620A9"/>
    <w:rsid w:val="00962798"/>
    <w:rsid w:val="00964E25"/>
    <w:rsid w:val="00965902"/>
    <w:rsid w:val="0096782B"/>
    <w:rsid w:val="00967CAA"/>
    <w:rsid w:val="00967CCC"/>
    <w:rsid w:val="009716A9"/>
    <w:rsid w:val="009720C0"/>
    <w:rsid w:val="00972872"/>
    <w:rsid w:val="00974237"/>
    <w:rsid w:val="00980818"/>
    <w:rsid w:val="00984426"/>
    <w:rsid w:val="009847F4"/>
    <w:rsid w:val="00986DB0"/>
    <w:rsid w:val="0098763F"/>
    <w:rsid w:val="00990107"/>
    <w:rsid w:val="00990184"/>
    <w:rsid w:val="00991625"/>
    <w:rsid w:val="0099213A"/>
    <w:rsid w:val="009942A5"/>
    <w:rsid w:val="009A0DC3"/>
    <w:rsid w:val="009A167A"/>
    <w:rsid w:val="009A19ED"/>
    <w:rsid w:val="009A1E4D"/>
    <w:rsid w:val="009A1E9D"/>
    <w:rsid w:val="009A38BD"/>
    <w:rsid w:val="009A39A3"/>
    <w:rsid w:val="009A4C58"/>
    <w:rsid w:val="009A5810"/>
    <w:rsid w:val="009A7642"/>
    <w:rsid w:val="009B040B"/>
    <w:rsid w:val="009B1F1E"/>
    <w:rsid w:val="009B1F67"/>
    <w:rsid w:val="009B229D"/>
    <w:rsid w:val="009B570F"/>
    <w:rsid w:val="009B61C5"/>
    <w:rsid w:val="009C08FA"/>
    <w:rsid w:val="009C2625"/>
    <w:rsid w:val="009C5458"/>
    <w:rsid w:val="009D0C56"/>
    <w:rsid w:val="009D0DC4"/>
    <w:rsid w:val="009D0FE7"/>
    <w:rsid w:val="009D22EE"/>
    <w:rsid w:val="009D317D"/>
    <w:rsid w:val="009D32BE"/>
    <w:rsid w:val="009D36AF"/>
    <w:rsid w:val="009D3975"/>
    <w:rsid w:val="009D463A"/>
    <w:rsid w:val="009D4F37"/>
    <w:rsid w:val="009D4F6D"/>
    <w:rsid w:val="009D5040"/>
    <w:rsid w:val="009D54B5"/>
    <w:rsid w:val="009E1B0F"/>
    <w:rsid w:val="009E1CCC"/>
    <w:rsid w:val="009E2B1F"/>
    <w:rsid w:val="009E3F70"/>
    <w:rsid w:val="009E4742"/>
    <w:rsid w:val="009E79B4"/>
    <w:rsid w:val="009E7E61"/>
    <w:rsid w:val="009F0B64"/>
    <w:rsid w:val="009F3608"/>
    <w:rsid w:val="009F36F4"/>
    <w:rsid w:val="009F375E"/>
    <w:rsid w:val="009F5D72"/>
    <w:rsid w:val="00A00B66"/>
    <w:rsid w:val="00A01401"/>
    <w:rsid w:val="00A01C5C"/>
    <w:rsid w:val="00A026F5"/>
    <w:rsid w:val="00A03246"/>
    <w:rsid w:val="00A04414"/>
    <w:rsid w:val="00A04D3A"/>
    <w:rsid w:val="00A0610F"/>
    <w:rsid w:val="00A07128"/>
    <w:rsid w:val="00A132F8"/>
    <w:rsid w:val="00A14EB9"/>
    <w:rsid w:val="00A14EEA"/>
    <w:rsid w:val="00A15880"/>
    <w:rsid w:val="00A169CE"/>
    <w:rsid w:val="00A16D8C"/>
    <w:rsid w:val="00A1790E"/>
    <w:rsid w:val="00A17A3C"/>
    <w:rsid w:val="00A2226B"/>
    <w:rsid w:val="00A22F08"/>
    <w:rsid w:val="00A2309C"/>
    <w:rsid w:val="00A23BE7"/>
    <w:rsid w:val="00A25755"/>
    <w:rsid w:val="00A26B4D"/>
    <w:rsid w:val="00A2748C"/>
    <w:rsid w:val="00A27A21"/>
    <w:rsid w:val="00A30403"/>
    <w:rsid w:val="00A33B53"/>
    <w:rsid w:val="00A34B70"/>
    <w:rsid w:val="00A35CE5"/>
    <w:rsid w:val="00A37E3F"/>
    <w:rsid w:val="00A41E74"/>
    <w:rsid w:val="00A43451"/>
    <w:rsid w:val="00A45E65"/>
    <w:rsid w:val="00A46ED7"/>
    <w:rsid w:val="00A516BD"/>
    <w:rsid w:val="00A525DF"/>
    <w:rsid w:val="00A53330"/>
    <w:rsid w:val="00A534D0"/>
    <w:rsid w:val="00A53BB1"/>
    <w:rsid w:val="00A55150"/>
    <w:rsid w:val="00A56CED"/>
    <w:rsid w:val="00A6146C"/>
    <w:rsid w:val="00A6347F"/>
    <w:rsid w:val="00A63AF9"/>
    <w:rsid w:val="00A65A50"/>
    <w:rsid w:val="00A65FC9"/>
    <w:rsid w:val="00A67203"/>
    <w:rsid w:val="00A705D7"/>
    <w:rsid w:val="00A706AC"/>
    <w:rsid w:val="00A72325"/>
    <w:rsid w:val="00A72D60"/>
    <w:rsid w:val="00A75584"/>
    <w:rsid w:val="00A76679"/>
    <w:rsid w:val="00A8058B"/>
    <w:rsid w:val="00A817D8"/>
    <w:rsid w:val="00A81FD1"/>
    <w:rsid w:val="00A84162"/>
    <w:rsid w:val="00A860E1"/>
    <w:rsid w:val="00A877B7"/>
    <w:rsid w:val="00A90112"/>
    <w:rsid w:val="00A91030"/>
    <w:rsid w:val="00A92D2F"/>
    <w:rsid w:val="00A969BA"/>
    <w:rsid w:val="00A970EB"/>
    <w:rsid w:val="00AA05E1"/>
    <w:rsid w:val="00AA0C9D"/>
    <w:rsid w:val="00AA2401"/>
    <w:rsid w:val="00AA2E15"/>
    <w:rsid w:val="00AA2FF9"/>
    <w:rsid w:val="00AA5FD7"/>
    <w:rsid w:val="00AA753F"/>
    <w:rsid w:val="00AB0C62"/>
    <w:rsid w:val="00AB3DDA"/>
    <w:rsid w:val="00AB4A24"/>
    <w:rsid w:val="00AB6A40"/>
    <w:rsid w:val="00AC2346"/>
    <w:rsid w:val="00AC2A4C"/>
    <w:rsid w:val="00AC4B0C"/>
    <w:rsid w:val="00AC769B"/>
    <w:rsid w:val="00AD515E"/>
    <w:rsid w:val="00AD5320"/>
    <w:rsid w:val="00AD6157"/>
    <w:rsid w:val="00AD66B4"/>
    <w:rsid w:val="00AE0DC7"/>
    <w:rsid w:val="00AE259D"/>
    <w:rsid w:val="00AE2C5D"/>
    <w:rsid w:val="00AE3F89"/>
    <w:rsid w:val="00AE5B49"/>
    <w:rsid w:val="00AE701D"/>
    <w:rsid w:val="00AF1FB8"/>
    <w:rsid w:val="00AF31D3"/>
    <w:rsid w:val="00AF5453"/>
    <w:rsid w:val="00AF597B"/>
    <w:rsid w:val="00AF7C40"/>
    <w:rsid w:val="00B00837"/>
    <w:rsid w:val="00B028CE"/>
    <w:rsid w:val="00B02AA5"/>
    <w:rsid w:val="00B03E6E"/>
    <w:rsid w:val="00B054C9"/>
    <w:rsid w:val="00B054DD"/>
    <w:rsid w:val="00B064C9"/>
    <w:rsid w:val="00B064FC"/>
    <w:rsid w:val="00B07E2C"/>
    <w:rsid w:val="00B11305"/>
    <w:rsid w:val="00B1195C"/>
    <w:rsid w:val="00B11FAA"/>
    <w:rsid w:val="00B12429"/>
    <w:rsid w:val="00B124B8"/>
    <w:rsid w:val="00B15618"/>
    <w:rsid w:val="00B15B5E"/>
    <w:rsid w:val="00B164DA"/>
    <w:rsid w:val="00B17CAB"/>
    <w:rsid w:val="00B20E1F"/>
    <w:rsid w:val="00B21029"/>
    <w:rsid w:val="00B2232C"/>
    <w:rsid w:val="00B22616"/>
    <w:rsid w:val="00B24DB4"/>
    <w:rsid w:val="00B27EF5"/>
    <w:rsid w:val="00B3060D"/>
    <w:rsid w:val="00B326FA"/>
    <w:rsid w:val="00B33714"/>
    <w:rsid w:val="00B351AD"/>
    <w:rsid w:val="00B35504"/>
    <w:rsid w:val="00B3651D"/>
    <w:rsid w:val="00B41F05"/>
    <w:rsid w:val="00B42242"/>
    <w:rsid w:val="00B42AA5"/>
    <w:rsid w:val="00B42F25"/>
    <w:rsid w:val="00B45253"/>
    <w:rsid w:val="00B452E4"/>
    <w:rsid w:val="00B5409A"/>
    <w:rsid w:val="00B558FB"/>
    <w:rsid w:val="00B55E4F"/>
    <w:rsid w:val="00B56193"/>
    <w:rsid w:val="00B566D1"/>
    <w:rsid w:val="00B60179"/>
    <w:rsid w:val="00B60271"/>
    <w:rsid w:val="00B61148"/>
    <w:rsid w:val="00B6425D"/>
    <w:rsid w:val="00B6474D"/>
    <w:rsid w:val="00B64C5C"/>
    <w:rsid w:val="00B65D27"/>
    <w:rsid w:val="00B67FA7"/>
    <w:rsid w:val="00B711E1"/>
    <w:rsid w:val="00B76400"/>
    <w:rsid w:val="00B80695"/>
    <w:rsid w:val="00B81899"/>
    <w:rsid w:val="00B82074"/>
    <w:rsid w:val="00B843E8"/>
    <w:rsid w:val="00B85B2B"/>
    <w:rsid w:val="00B85F81"/>
    <w:rsid w:val="00B90749"/>
    <w:rsid w:val="00B92690"/>
    <w:rsid w:val="00B9350E"/>
    <w:rsid w:val="00B93623"/>
    <w:rsid w:val="00B95D17"/>
    <w:rsid w:val="00B97EDA"/>
    <w:rsid w:val="00BA4C2B"/>
    <w:rsid w:val="00BA4D3C"/>
    <w:rsid w:val="00BA7726"/>
    <w:rsid w:val="00BA77B4"/>
    <w:rsid w:val="00BB0D88"/>
    <w:rsid w:val="00BB1A4F"/>
    <w:rsid w:val="00BB4139"/>
    <w:rsid w:val="00BB5E23"/>
    <w:rsid w:val="00BC3589"/>
    <w:rsid w:val="00BC3D6B"/>
    <w:rsid w:val="00BC6D96"/>
    <w:rsid w:val="00BD162C"/>
    <w:rsid w:val="00BD2055"/>
    <w:rsid w:val="00BD25CB"/>
    <w:rsid w:val="00BD3874"/>
    <w:rsid w:val="00BD4017"/>
    <w:rsid w:val="00BD5044"/>
    <w:rsid w:val="00BD6D10"/>
    <w:rsid w:val="00BD7894"/>
    <w:rsid w:val="00BE3256"/>
    <w:rsid w:val="00BE4372"/>
    <w:rsid w:val="00BE503E"/>
    <w:rsid w:val="00BE57A3"/>
    <w:rsid w:val="00BE6BA8"/>
    <w:rsid w:val="00BF21D5"/>
    <w:rsid w:val="00BF2DE2"/>
    <w:rsid w:val="00BF3AF0"/>
    <w:rsid w:val="00BF3CA0"/>
    <w:rsid w:val="00BF4A03"/>
    <w:rsid w:val="00BF4E19"/>
    <w:rsid w:val="00BF5000"/>
    <w:rsid w:val="00BF6BAB"/>
    <w:rsid w:val="00BF72D1"/>
    <w:rsid w:val="00C025DB"/>
    <w:rsid w:val="00C043BC"/>
    <w:rsid w:val="00C0487F"/>
    <w:rsid w:val="00C05696"/>
    <w:rsid w:val="00C07031"/>
    <w:rsid w:val="00C10680"/>
    <w:rsid w:val="00C1109F"/>
    <w:rsid w:val="00C13CE3"/>
    <w:rsid w:val="00C305C6"/>
    <w:rsid w:val="00C325F1"/>
    <w:rsid w:val="00C34CF9"/>
    <w:rsid w:val="00C4153C"/>
    <w:rsid w:val="00C4305E"/>
    <w:rsid w:val="00C435F3"/>
    <w:rsid w:val="00C44546"/>
    <w:rsid w:val="00C449ED"/>
    <w:rsid w:val="00C4794B"/>
    <w:rsid w:val="00C47E2C"/>
    <w:rsid w:val="00C50761"/>
    <w:rsid w:val="00C50767"/>
    <w:rsid w:val="00C51E63"/>
    <w:rsid w:val="00C53905"/>
    <w:rsid w:val="00C55FFA"/>
    <w:rsid w:val="00C566A5"/>
    <w:rsid w:val="00C601A8"/>
    <w:rsid w:val="00C64222"/>
    <w:rsid w:val="00C6602E"/>
    <w:rsid w:val="00C67C39"/>
    <w:rsid w:val="00C70DCC"/>
    <w:rsid w:val="00C72FA9"/>
    <w:rsid w:val="00C7482C"/>
    <w:rsid w:val="00C7728C"/>
    <w:rsid w:val="00C77476"/>
    <w:rsid w:val="00C80440"/>
    <w:rsid w:val="00C804B6"/>
    <w:rsid w:val="00C817C9"/>
    <w:rsid w:val="00C81E11"/>
    <w:rsid w:val="00C83D55"/>
    <w:rsid w:val="00C846C6"/>
    <w:rsid w:val="00C8740E"/>
    <w:rsid w:val="00C93127"/>
    <w:rsid w:val="00C9420F"/>
    <w:rsid w:val="00C94C39"/>
    <w:rsid w:val="00C97DD1"/>
    <w:rsid w:val="00CA0D53"/>
    <w:rsid w:val="00CA2E2D"/>
    <w:rsid w:val="00CA45B7"/>
    <w:rsid w:val="00CA4610"/>
    <w:rsid w:val="00CA6500"/>
    <w:rsid w:val="00CA70DF"/>
    <w:rsid w:val="00CA7664"/>
    <w:rsid w:val="00CA7B10"/>
    <w:rsid w:val="00CB3267"/>
    <w:rsid w:val="00CB33D5"/>
    <w:rsid w:val="00CB6F17"/>
    <w:rsid w:val="00CC0026"/>
    <w:rsid w:val="00CC0AE3"/>
    <w:rsid w:val="00CC1897"/>
    <w:rsid w:val="00CC2017"/>
    <w:rsid w:val="00CC20E7"/>
    <w:rsid w:val="00CC2D33"/>
    <w:rsid w:val="00CC45D0"/>
    <w:rsid w:val="00CD1952"/>
    <w:rsid w:val="00CD287D"/>
    <w:rsid w:val="00CD3C4B"/>
    <w:rsid w:val="00CD6F1F"/>
    <w:rsid w:val="00CE0C78"/>
    <w:rsid w:val="00CE13BF"/>
    <w:rsid w:val="00CE326F"/>
    <w:rsid w:val="00CE45CE"/>
    <w:rsid w:val="00CE53EB"/>
    <w:rsid w:val="00CE6ACD"/>
    <w:rsid w:val="00CF086A"/>
    <w:rsid w:val="00CF13D6"/>
    <w:rsid w:val="00CF4914"/>
    <w:rsid w:val="00CF61DA"/>
    <w:rsid w:val="00CF71CF"/>
    <w:rsid w:val="00CF7C1D"/>
    <w:rsid w:val="00D01D80"/>
    <w:rsid w:val="00D05E0D"/>
    <w:rsid w:val="00D0645A"/>
    <w:rsid w:val="00D07437"/>
    <w:rsid w:val="00D149EC"/>
    <w:rsid w:val="00D14FAE"/>
    <w:rsid w:val="00D16204"/>
    <w:rsid w:val="00D16535"/>
    <w:rsid w:val="00D1672B"/>
    <w:rsid w:val="00D16F60"/>
    <w:rsid w:val="00D20EAF"/>
    <w:rsid w:val="00D22780"/>
    <w:rsid w:val="00D23381"/>
    <w:rsid w:val="00D2416A"/>
    <w:rsid w:val="00D24A3C"/>
    <w:rsid w:val="00D26A2E"/>
    <w:rsid w:val="00D316FC"/>
    <w:rsid w:val="00D31C71"/>
    <w:rsid w:val="00D3265E"/>
    <w:rsid w:val="00D33D15"/>
    <w:rsid w:val="00D33F0F"/>
    <w:rsid w:val="00D34A6B"/>
    <w:rsid w:val="00D34E15"/>
    <w:rsid w:val="00D36C5C"/>
    <w:rsid w:val="00D37D64"/>
    <w:rsid w:val="00D41A4F"/>
    <w:rsid w:val="00D41EDB"/>
    <w:rsid w:val="00D42240"/>
    <w:rsid w:val="00D427B7"/>
    <w:rsid w:val="00D42B6F"/>
    <w:rsid w:val="00D42CF3"/>
    <w:rsid w:val="00D45C9C"/>
    <w:rsid w:val="00D47412"/>
    <w:rsid w:val="00D50AAC"/>
    <w:rsid w:val="00D50BF9"/>
    <w:rsid w:val="00D50EEC"/>
    <w:rsid w:val="00D51BEE"/>
    <w:rsid w:val="00D52490"/>
    <w:rsid w:val="00D54265"/>
    <w:rsid w:val="00D55484"/>
    <w:rsid w:val="00D55815"/>
    <w:rsid w:val="00D573C5"/>
    <w:rsid w:val="00D61B6A"/>
    <w:rsid w:val="00D61BBC"/>
    <w:rsid w:val="00D70176"/>
    <w:rsid w:val="00D705F5"/>
    <w:rsid w:val="00D70916"/>
    <w:rsid w:val="00D728E0"/>
    <w:rsid w:val="00D72D89"/>
    <w:rsid w:val="00D73447"/>
    <w:rsid w:val="00D74023"/>
    <w:rsid w:val="00D74025"/>
    <w:rsid w:val="00D7702B"/>
    <w:rsid w:val="00D80458"/>
    <w:rsid w:val="00D827A5"/>
    <w:rsid w:val="00D829A3"/>
    <w:rsid w:val="00D83B5E"/>
    <w:rsid w:val="00D84FA2"/>
    <w:rsid w:val="00D85C2F"/>
    <w:rsid w:val="00D86036"/>
    <w:rsid w:val="00D86EB4"/>
    <w:rsid w:val="00D9144F"/>
    <w:rsid w:val="00D91A37"/>
    <w:rsid w:val="00D91EC4"/>
    <w:rsid w:val="00D92C13"/>
    <w:rsid w:val="00D94664"/>
    <w:rsid w:val="00D94E65"/>
    <w:rsid w:val="00DA0E65"/>
    <w:rsid w:val="00DA3F29"/>
    <w:rsid w:val="00DA4EF0"/>
    <w:rsid w:val="00DB2353"/>
    <w:rsid w:val="00DB59FC"/>
    <w:rsid w:val="00DB612F"/>
    <w:rsid w:val="00DB68D9"/>
    <w:rsid w:val="00DB6905"/>
    <w:rsid w:val="00DB7485"/>
    <w:rsid w:val="00DB7FF4"/>
    <w:rsid w:val="00DC0446"/>
    <w:rsid w:val="00DC0FC0"/>
    <w:rsid w:val="00DC1BB9"/>
    <w:rsid w:val="00DC1DDF"/>
    <w:rsid w:val="00DC24BC"/>
    <w:rsid w:val="00DC292B"/>
    <w:rsid w:val="00DC2C11"/>
    <w:rsid w:val="00DC467F"/>
    <w:rsid w:val="00DC5788"/>
    <w:rsid w:val="00DC709F"/>
    <w:rsid w:val="00DC7E43"/>
    <w:rsid w:val="00DC7F54"/>
    <w:rsid w:val="00DD0879"/>
    <w:rsid w:val="00DD0A86"/>
    <w:rsid w:val="00DD22E8"/>
    <w:rsid w:val="00DD452B"/>
    <w:rsid w:val="00DD6553"/>
    <w:rsid w:val="00DE315F"/>
    <w:rsid w:val="00DE4475"/>
    <w:rsid w:val="00DE530B"/>
    <w:rsid w:val="00DF0D4A"/>
    <w:rsid w:val="00DF10C3"/>
    <w:rsid w:val="00DF1761"/>
    <w:rsid w:val="00DF3BAC"/>
    <w:rsid w:val="00DF3F64"/>
    <w:rsid w:val="00DF3F98"/>
    <w:rsid w:val="00DF4359"/>
    <w:rsid w:val="00DF69DF"/>
    <w:rsid w:val="00E00054"/>
    <w:rsid w:val="00E00688"/>
    <w:rsid w:val="00E00B01"/>
    <w:rsid w:val="00E02CA0"/>
    <w:rsid w:val="00E039DB"/>
    <w:rsid w:val="00E04D8D"/>
    <w:rsid w:val="00E04DB8"/>
    <w:rsid w:val="00E0668A"/>
    <w:rsid w:val="00E07C7E"/>
    <w:rsid w:val="00E10D4B"/>
    <w:rsid w:val="00E128AA"/>
    <w:rsid w:val="00E16672"/>
    <w:rsid w:val="00E207E6"/>
    <w:rsid w:val="00E21269"/>
    <w:rsid w:val="00E2224C"/>
    <w:rsid w:val="00E2381A"/>
    <w:rsid w:val="00E250F9"/>
    <w:rsid w:val="00E25186"/>
    <w:rsid w:val="00E255E8"/>
    <w:rsid w:val="00E3090A"/>
    <w:rsid w:val="00E30A8A"/>
    <w:rsid w:val="00E32D13"/>
    <w:rsid w:val="00E34BE4"/>
    <w:rsid w:val="00E3586F"/>
    <w:rsid w:val="00E35971"/>
    <w:rsid w:val="00E36410"/>
    <w:rsid w:val="00E36FD3"/>
    <w:rsid w:val="00E40405"/>
    <w:rsid w:val="00E41450"/>
    <w:rsid w:val="00E42B04"/>
    <w:rsid w:val="00E43558"/>
    <w:rsid w:val="00E44037"/>
    <w:rsid w:val="00E44936"/>
    <w:rsid w:val="00E47F76"/>
    <w:rsid w:val="00E50477"/>
    <w:rsid w:val="00E5064B"/>
    <w:rsid w:val="00E50E30"/>
    <w:rsid w:val="00E5151C"/>
    <w:rsid w:val="00E52CB0"/>
    <w:rsid w:val="00E563FC"/>
    <w:rsid w:val="00E572F2"/>
    <w:rsid w:val="00E57F36"/>
    <w:rsid w:val="00E614B3"/>
    <w:rsid w:val="00E62D74"/>
    <w:rsid w:val="00E65FB5"/>
    <w:rsid w:val="00E660E8"/>
    <w:rsid w:val="00E661AA"/>
    <w:rsid w:val="00E66EA5"/>
    <w:rsid w:val="00E67B67"/>
    <w:rsid w:val="00E70E45"/>
    <w:rsid w:val="00E72B6E"/>
    <w:rsid w:val="00E7456F"/>
    <w:rsid w:val="00E77928"/>
    <w:rsid w:val="00E807E7"/>
    <w:rsid w:val="00E8265D"/>
    <w:rsid w:val="00E82795"/>
    <w:rsid w:val="00E828DC"/>
    <w:rsid w:val="00E84369"/>
    <w:rsid w:val="00E90601"/>
    <w:rsid w:val="00E90999"/>
    <w:rsid w:val="00E90CE6"/>
    <w:rsid w:val="00E912A6"/>
    <w:rsid w:val="00E9257F"/>
    <w:rsid w:val="00E92C46"/>
    <w:rsid w:val="00E947E4"/>
    <w:rsid w:val="00E96498"/>
    <w:rsid w:val="00E96C2C"/>
    <w:rsid w:val="00EA136B"/>
    <w:rsid w:val="00EA2249"/>
    <w:rsid w:val="00EA2E4F"/>
    <w:rsid w:val="00EA44ED"/>
    <w:rsid w:val="00EA6790"/>
    <w:rsid w:val="00EA7500"/>
    <w:rsid w:val="00EA77E3"/>
    <w:rsid w:val="00EB1FEB"/>
    <w:rsid w:val="00EB39EE"/>
    <w:rsid w:val="00EB7AD0"/>
    <w:rsid w:val="00EC129F"/>
    <w:rsid w:val="00EC25D1"/>
    <w:rsid w:val="00EC3E8B"/>
    <w:rsid w:val="00EC4342"/>
    <w:rsid w:val="00EC6936"/>
    <w:rsid w:val="00EC77F2"/>
    <w:rsid w:val="00ED0C42"/>
    <w:rsid w:val="00ED1367"/>
    <w:rsid w:val="00ED332B"/>
    <w:rsid w:val="00ED5421"/>
    <w:rsid w:val="00ED5F4D"/>
    <w:rsid w:val="00EE24C0"/>
    <w:rsid w:val="00EE44C8"/>
    <w:rsid w:val="00EE5405"/>
    <w:rsid w:val="00EF036D"/>
    <w:rsid w:val="00EF04ED"/>
    <w:rsid w:val="00EF2FF4"/>
    <w:rsid w:val="00EF3050"/>
    <w:rsid w:val="00EF3D75"/>
    <w:rsid w:val="00EF43FD"/>
    <w:rsid w:val="00F0080E"/>
    <w:rsid w:val="00F010D8"/>
    <w:rsid w:val="00F03345"/>
    <w:rsid w:val="00F07236"/>
    <w:rsid w:val="00F079C4"/>
    <w:rsid w:val="00F114D7"/>
    <w:rsid w:val="00F1269D"/>
    <w:rsid w:val="00F14C31"/>
    <w:rsid w:val="00F16338"/>
    <w:rsid w:val="00F16D1C"/>
    <w:rsid w:val="00F211C3"/>
    <w:rsid w:val="00F2192E"/>
    <w:rsid w:val="00F219AF"/>
    <w:rsid w:val="00F21E6C"/>
    <w:rsid w:val="00F266E7"/>
    <w:rsid w:val="00F307AA"/>
    <w:rsid w:val="00F30C4B"/>
    <w:rsid w:val="00F31680"/>
    <w:rsid w:val="00F3180C"/>
    <w:rsid w:val="00F3180E"/>
    <w:rsid w:val="00F339D1"/>
    <w:rsid w:val="00F36948"/>
    <w:rsid w:val="00F36B18"/>
    <w:rsid w:val="00F37315"/>
    <w:rsid w:val="00F407DB"/>
    <w:rsid w:val="00F41292"/>
    <w:rsid w:val="00F41E2B"/>
    <w:rsid w:val="00F4509D"/>
    <w:rsid w:val="00F4789F"/>
    <w:rsid w:val="00F50DD0"/>
    <w:rsid w:val="00F510CE"/>
    <w:rsid w:val="00F519AF"/>
    <w:rsid w:val="00F525DF"/>
    <w:rsid w:val="00F53E16"/>
    <w:rsid w:val="00F54ADF"/>
    <w:rsid w:val="00F551CE"/>
    <w:rsid w:val="00F55B77"/>
    <w:rsid w:val="00F5609C"/>
    <w:rsid w:val="00F5750B"/>
    <w:rsid w:val="00F6080B"/>
    <w:rsid w:val="00F613EB"/>
    <w:rsid w:val="00F617B6"/>
    <w:rsid w:val="00F61D9D"/>
    <w:rsid w:val="00F620A3"/>
    <w:rsid w:val="00F62558"/>
    <w:rsid w:val="00F65CC9"/>
    <w:rsid w:val="00F65F1F"/>
    <w:rsid w:val="00F67D3C"/>
    <w:rsid w:val="00F7164A"/>
    <w:rsid w:val="00F71971"/>
    <w:rsid w:val="00F74436"/>
    <w:rsid w:val="00F75BF3"/>
    <w:rsid w:val="00F76B20"/>
    <w:rsid w:val="00F80152"/>
    <w:rsid w:val="00F8059D"/>
    <w:rsid w:val="00F80FB7"/>
    <w:rsid w:val="00F81ABB"/>
    <w:rsid w:val="00F82E94"/>
    <w:rsid w:val="00F852A9"/>
    <w:rsid w:val="00F91BBD"/>
    <w:rsid w:val="00F91FBB"/>
    <w:rsid w:val="00F94545"/>
    <w:rsid w:val="00F94776"/>
    <w:rsid w:val="00F94C4D"/>
    <w:rsid w:val="00FA1FDC"/>
    <w:rsid w:val="00FA2E85"/>
    <w:rsid w:val="00FA3CFC"/>
    <w:rsid w:val="00FA53E1"/>
    <w:rsid w:val="00FA56BB"/>
    <w:rsid w:val="00FA6FC1"/>
    <w:rsid w:val="00FA7D13"/>
    <w:rsid w:val="00FB0A03"/>
    <w:rsid w:val="00FB0AA9"/>
    <w:rsid w:val="00FB16BB"/>
    <w:rsid w:val="00FB1984"/>
    <w:rsid w:val="00FB1E99"/>
    <w:rsid w:val="00FB2C70"/>
    <w:rsid w:val="00FB3FC3"/>
    <w:rsid w:val="00FB411C"/>
    <w:rsid w:val="00FB7148"/>
    <w:rsid w:val="00FC4A84"/>
    <w:rsid w:val="00FC4CA7"/>
    <w:rsid w:val="00FC6137"/>
    <w:rsid w:val="00FC681A"/>
    <w:rsid w:val="00FD07F8"/>
    <w:rsid w:val="00FD4103"/>
    <w:rsid w:val="00FD4240"/>
    <w:rsid w:val="00FD48F2"/>
    <w:rsid w:val="00FD49F3"/>
    <w:rsid w:val="00FD5F80"/>
    <w:rsid w:val="00FD6D17"/>
    <w:rsid w:val="00FE08D3"/>
    <w:rsid w:val="00FE0C49"/>
    <w:rsid w:val="00FE4B41"/>
    <w:rsid w:val="00FF0F9F"/>
    <w:rsid w:val="00FF16DC"/>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Lista1,列出段落1,中等深浅网格 1 - 着色 21"/>
    <w:basedOn w:val="a"/>
    <w:link w:val="Char4"/>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8">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B1Zchn">
    <w:name w:val="B1 Zchn"/>
    <w:rsid w:val="00953006"/>
    <w:rPr>
      <w:lang w:eastAsia="en-US"/>
    </w:rPr>
  </w:style>
  <w:style w:type="character" w:customStyle="1" w:styleId="TALChar">
    <w:name w:val="TAL Char"/>
    <w:link w:val="TAL"/>
    <w:rsid w:val="00953006"/>
    <w:rPr>
      <w:rFonts w:ascii="Arial" w:eastAsiaTheme="minorEastAsia" w:hAnsi="Arial"/>
      <w:sz w:val="18"/>
      <w:lang w:val="en-GB" w:eastAsia="en-US"/>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9">
    <w:name w:val="Strong"/>
    <w:basedOn w:val="a1"/>
    <w:qFormat/>
    <w:rsid w:val="00EB1FEB"/>
    <w:rPr>
      <w:b/>
      <w:bCs/>
    </w:rPr>
  </w:style>
  <w:style w:type="paragraph" w:styleId="afa">
    <w:name w:val="Subtitle"/>
    <w:basedOn w:val="a"/>
    <w:next w:val="a"/>
    <w:link w:val="Char5"/>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a"/>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B2Char">
    <w:name w:val="B2 Char"/>
    <w:link w:val="B2"/>
    <w:qFormat/>
    <w:rsid w:val="0083746C"/>
    <w:rPr>
      <w:rFonts w:eastAsia="Times New Roman"/>
      <w:lang w:val="en-GB" w:eastAsia="en-GB"/>
    </w:rPr>
  </w:style>
  <w:style w:type="character" w:customStyle="1" w:styleId="Char4">
    <w:name w:val="列出段落 Char"/>
    <w:aliases w:val="- Bullets Char,목록 단락 Char,リスト段落 Char,?? ?? Char,????? Char,???? Char,Lista1 Char,列出段落1 Char,中等深浅网格 1 - 着色 21 Char"/>
    <w:link w:val="af3"/>
    <w:uiPriority w:val="34"/>
    <w:qFormat/>
    <w:locked/>
    <w:rsid w:val="0064523E"/>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B1DAC-9318-4FFF-BD83-F334D05E1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8</Pages>
  <Words>1926</Words>
  <Characters>10979</Characters>
  <Application>Microsoft Office Word</Application>
  <DocSecurity>0</DocSecurity>
  <Lines>91</Lines>
  <Paragraphs>25</Paragraphs>
  <ScaleCrop>false</ScaleCrop>
  <Company>vivo mobile communication co.</Company>
  <LinksUpToDate>false</LinksUpToDate>
  <CharactersWithSpaces>12880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shenxd</cp:lastModifiedBy>
  <cp:revision>6</cp:revision>
  <cp:lastPrinted>2008-12-09T03:19:00Z</cp:lastPrinted>
  <dcterms:created xsi:type="dcterms:W3CDTF">2019-01-10T16:17:00Z</dcterms:created>
  <dcterms:modified xsi:type="dcterms:W3CDTF">2019-02-13T06:58:00Z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